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489CB" w14:textId="77777777" w:rsidR="007F628C" w:rsidRPr="000F66DD" w:rsidRDefault="007F628C" w:rsidP="005E331D">
      <w:pPr>
        <w:pStyle w:val="NoSpacing"/>
        <w:jc w:val="center"/>
        <w:rPr>
          <w:b/>
        </w:rPr>
      </w:pPr>
    </w:p>
    <w:p w14:paraId="67DAF249" w14:textId="578AEC35" w:rsidR="00C02D6D" w:rsidRDefault="00E47807" w:rsidP="005E331D">
      <w:pPr>
        <w:pStyle w:val="NoSpacing"/>
        <w:jc w:val="center"/>
        <w:rPr>
          <w:b/>
        </w:rPr>
      </w:pPr>
      <w:r w:rsidRPr="00E47807">
        <w:rPr>
          <w:b/>
        </w:rPr>
        <w:t>MINORS IN LAB</w:t>
      </w:r>
      <w:r w:rsidR="00243CBB">
        <w:rPr>
          <w:b/>
        </w:rPr>
        <w:t xml:space="preserve">ORATIES </w:t>
      </w:r>
      <w:r w:rsidR="007D1FFA">
        <w:rPr>
          <w:b/>
        </w:rPr>
        <w:t>AT</w:t>
      </w:r>
      <w:r w:rsidR="00C02D6D">
        <w:rPr>
          <w:b/>
        </w:rPr>
        <w:t xml:space="preserve"> CORNELL UNIVERSITY</w:t>
      </w:r>
    </w:p>
    <w:p w14:paraId="0FA91FC0" w14:textId="05340595" w:rsidR="00A70BC5" w:rsidRDefault="00A70BC5" w:rsidP="00C02D6D">
      <w:pPr>
        <w:rPr>
          <w:b/>
          <w:bCs/>
          <w:u w:val="single"/>
        </w:rPr>
      </w:pPr>
    </w:p>
    <w:p w14:paraId="4A5092D6" w14:textId="0BB73CEE" w:rsidR="00C02D6D" w:rsidRPr="007D1FFA" w:rsidRDefault="00F0775A" w:rsidP="00A70BC5">
      <w:pPr>
        <w:spacing w:before="240" w:after="240"/>
        <w:rPr>
          <w:u w:val="single"/>
        </w:rPr>
      </w:pPr>
      <w:r w:rsidRPr="007D1FFA">
        <w:rPr>
          <w:b/>
          <w:bCs/>
          <w:u w:val="single"/>
        </w:rPr>
        <w:t>PURPOSE</w:t>
      </w:r>
    </w:p>
    <w:p w14:paraId="101DEB8B" w14:textId="27411BBF" w:rsidR="00E47807" w:rsidRDefault="00825929" w:rsidP="008629B5">
      <w:pPr>
        <w:ind w:left="288"/>
      </w:pPr>
      <w:r w:rsidRPr="00825929">
        <w:t xml:space="preserve">Cornell University is committed to creating a safe environment for minors </w:t>
      </w:r>
      <w:r w:rsidR="00267AC9">
        <w:t>visiting or working in</w:t>
      </w:r>
      <w:r w:rsidR="00243CBB">
        <w:t xml:space="preserve"> laboratories</w:t>
      </w:r>
      <w:r w:rsidR="0089197B">
        <w:t xml:space="preserve"> or </w:t>
      </w:r>
      <w:r w:rsidR="00E004E8">
        <w:t>laboratory support</w:t>
      </w:r>
      <w:r w:rsidR="0089197B">
        <w:t xml:space="preserve"> </w:t>
      </w:r>
      <w:r w:rsidR="00E004E8">
        <w:t>spaces</w:t>
      </w:r>
      <w:r w:rsidR="00267AC9">
        <w:t xml:space="preserve"> where hazardous materials and equipment are present</w:t>
      </w:r>
      <w:r w:rsidR="00E004E8">
        <w:t>.</w:t>
      </w:r>
    </w:p>
    <w:p w14:paraId="76DA90B5" w14:textId="1150EE5E" w:rsidR="00182FCF" w:rsidRPr="004C035E" w:rsidRDefault="00182FCF" w:rsidP="00A70BC5">
      <w:pPr>
        <w:spacing w:before="240" w:after="240"/>
        <w:rPr>
          <w:b/>
          <w:u w:val="single"/>
        </w:rPr>
      </w:pPr>
      <w:r w:rsidRPr="004C035E">
        <w:rPr>
          <w:b/>
          <w:u w:val="single"/>
        </w:rPr>
        <w:t>SCOPE</w:t>
      </w:r>
    </w:p>
    <w:p w14:paraId="1FB97887" w14:textId="12BECE26" w:rsidR="00611C4E" w:rsidRDefault="0056094F" w:rsidP="008629B5">
      <w:pPr>
        <w:ind w:left="288"/>
      </w:pPr>
      <w:r>
        <w:t xml:space="preserve">The </w:t>
      </w:r>
      <w:r w:rsidR="00F0719B">
        <w:t xml:space="preserve">following </w:t>
      </w:r>
      <w:r>
        <w:t xml:space="preserve">requirements </w:t>
      </w:r>
      <w:r w:rsidR="00825929" w:rsidRPr="00825929">
        <w:t>regarding the presence of minors in University laboratories</w:t>
      </w:r>
      <w:r w:rsidR="00F0719B">
        <w:t xml:space="preserve"> and laboratory support spaces</w:t>
      </w:r>
      <w:r w:rsidR="0089197B">
        <w:t xml:space="preserve"> appl</w:t>
      </w:r>
      <w:r>
        <w:t>ies</w:t>
      </w:r>
      <w:r w:rsidR="0089197B">
        <w:t xml:space="preserve"> to:</w:t>
      </w:r>
    </w:p>
    <w:p w14:paraId="6B213405" w14:textId="17E60431" w:rsidR="00611C4E" w:rsidRDefault="00611C4E" w:rsidP="008C02DB">
      <w:pPr>
        <w:pStyle w:val="ListParagraph"/>
        <w:numPr>
          <w:ilvl w:val="0"/>
          <w:numId w:val="14"/>
        </w:numPr>
      </w:pPr>
      <w:r>
        <w:t>All</w:t>
      </w:r>
      <w:r w:rsidR="00491963">
        <w:t xml:space="preserve"> laboratories</w:t>
      </w:r>
      <w:r w:rsidR="0056094F">
        <w:t xml:space="preserve"> and laboratory support spaces</w:t>
      </w:r>
      <w:r w:rsidR="00491963">
        <w:t xml:space="preserve"> at</w:t>
      </w:r>
      <w:r w:rsidR="00255337">
        <w:t xml:space="preserve"> </w:t>
      </w:r>
      <w:r w:rsidR="00000A99">
        <w:t xml:space="preserve">Cornell </w:t>
      </w:r>
      <w:r w:rsidR="00182FCF">
        <w:t>University</w:t>
      </w:r>
      <w:r w:rsidR="00000A99" w:rsidRPr="00000A99">
        <w:t xml:space="preserve">, </w:t>
      </w:r>
      <w:r w:rsidR="00255337">
        <w:t xml:space="preserve">with the exception of </w:t>
      </w:r>
      <w:r w:rsidR="00000A99" w:rsidRPr="00000A99">
        <w:t xml:space="preserve"> </w:t>
      </w:r>
      <w:r w:rsidR="00000A99">
        <w:t xml:space="preserve">Weill </w:t>
      </w:r>
      <w:r w:rsidR="00F6396E">
        <w:t xml:space="preserve">Cornell </w:t>
      </w:r>
      <w:r w:rsidR="00000A99">
        <w:t>Medical College</w:t>
      </w:r>
    </w:p>
    <w:p w14:paraId="5E024823" w14:textId="7437B07E" w:rsidR="003E6893" w:rsidRDefault="00611C4E" w:rsidP="008C02DB">
      <w:pPr>
        <w:pStyle w:val="ListParagraph"/>
        <w:numPr>
          <w:ilvl w:val="0"/>
          <w:numId w:val="14"/>
        </w:numPr>
      </w:pPr>
      <w:r>
        <w:t>A</w:t>
      </w:r>
      <w:r w:rsidR="00182FCF" w:rsidRPr="00825929">
        <w:t>ll members of the University community, including faculty, staff, volunteers, interns, academic appointees, , teaching assistants,</w:t>
      </w:r>
      <w:r w:rsidR="00182FCF">
        <w:t xml:space="preserve"> registered University students, </w:t>
      </w:r>
      <w:r w:rsidR="00182FCF" w:rsidRPr="00825929">
        <w:t>and contractors</w:t>
      </w:r>
      <w:r w:rsidR="00491963">
        <w:t>; and</w:t>
      </w:r>
    </w:p>
    <w:p w14:paraId="7F0799B2" w14:textId="6480C420" w:rsidR="00000A99" w:rsidRDefault="00000A99" w:rsidP="008C02DB">
      <w:pPr>
        <w:pStyle w:val="ListParagraph"/>
        <w:numPr>
          <w:ilvl w:val="0"/>
          <w:numId w:val="14"/>
        </w:numPr>
      </w:pPr>
      <w:r>
        <w:t>Non-University organizations that operate programs for minors in University facilities.</w:t>
      </w:r>
    </w:p>
    <w:p w14:paraId="08E63F34" w14:textId="4E5A7ECE" w:rsidR="00335D38" w:rsidRDefault="00F0719B" w:rsidP="00335D38">
      <w:pPr>
        <w:ind w:left="288"/>
      </w:pPr>
      <w:r>
        <w:t>These requirements</w:t>
      </w:r>
      <w:r w:rsidR="00825929" w:rsidRPr="00825929">
        <w:t xml:space="preserve"> do not apply </w:t>
      </w:r>
      <w:r w:rsidR="00335D38">
        <w:t xml:space="preserve">to: </w:t>
      </w:r>
    </w:p>
    <w:p w14:paraId="5236B04D" w14:textId="77777777" w:rsidR="0089197B" w:rsidRDefault="00335D38" w:rsidP="00A042EE">
      <w:pPr>
        <w:pStyle w:val="ListParagraph"/>
        <w:numPr>
          <w:ilvl w:val="0"/>
          <w:numId w:val="15"/>
        </w:numPr>
      </w:pPr>
      <w:r>
        <w:t>Undergraduate st</w:t>
      </w:r>
      <w:r w:rsidR="00825929" w:rsidRPr="00825929">
        <w:t>udents enrolled in courses listed in a campus course catalog having a laboratory component</w:t>
      </w:r>
      <w:r w:rsidR="00611C4E">
        <w:t>; and</w:t>
      </w:r>
      <w:r w:rsidR="003E6893" w:rsidRPr="003E6893">
        <w:t xml:space="preserve"> </w:t>
      </w:r>
    </w:p>
    <w:p w14:paraId="2C015A93" w14:textId="1BDEECFF" w:rsidR="00D12CFA" w:rsidRDefault="00611C4E" w:rsidP="00A042EE">
      <w:pPr>
        <w:pStyle w:val="ListParagraph"/>
        <w:numPr>
          <w:ilvl w:val="0"/>
          <w:numId w:val="15"/>
        </w:numPr>
      </w:pPr>
      <w:r>
        <w:t>C</w:t>
      </w:r>
      <w:r w:rsidR="00D12CFA">
        <w:t xml:space="preserve">omputational laboratories, or laboratories where no hazardous materials or equipment are </w:t>
      </w:r>
      <w:r>
        <w:t>present</w:t>
      </w:r>
    </w:p>
    <w:p w14:paraId="66E1F821" w14:textId="33ED87BE" w:rsidR="00825929" w:rsidRPr="00825929" w:rsidRDefault="003E6893" w:rsidP="008629B5">
      <w:pPr>
        <w:ind w:left="288"/>
      </w:pPr>
      <w:r w:rsidRPr="00825929">
        <w:t xml:space="preserve">In addition, all </w:t>
      </w:r>
      <w:r>
        <w:t>units and members of the University community</w:t>
      </w:r>
      <w:r w:rsidRPr="00825929">
        <w:t xml:space="preserve"> are expected to comply with the University's Protection of Minors Guidelines.  </w:t>
      </w:r>
    </w:p>
    <w:p w14:paraId="538804E5" w14:textId="77777777" w:rsidR="00F0775A" w:rsidRPr="00F0775A" w:rsidRDefault="00F0775A" w:rsidP="00A70BC5">
      <w:pPr>
        <w:spacing w:before="240" w:after="240"/>
        <w:rPr>
          <w:u w:val="single"/>
        </w:rPr>
      </w:pPr>
      <w:r w:rsidRPr="00F0775A">
        <w:rPr>
          <w:b/>
          <w:bCs/>
          <w:u w:val="single"/>
        </w:rPr>
        <w:t>DEFINITIONS</w:t>
      </w:r>
    </w:p>
    <w:p w14:paraId="2430B67C" w14:textId="6BBD3FAE" w:rsidR="00F0775A" w:rsidRPr="00825929" w:rsidRDefault="00F0775A" w:rsidP="00F0775A">
      <w:pPr>
        <w:ind w:left="288"/>
      </w:pPr>
      <w:r w:rsidRPr="00825929">
        <w:rPr>
          <w:b/>
          <w:bCs/>
        </w:rPr>
        <w:t>Minor</w:t>
      </w:r>
      <w:r w:rsidRPr="00825929">
        <w:t>: Any person under the age of 18</w:t>
      </w:r>
      <w:r w:rsidR="00365F76">
        <w:t>.</w:t>
      </w:r>
    </w:p>
    <w:p w14:paraId="7BD57F19" w14:textId="7DFEA7D0" w:rsidR="00F0775A" w:rsidRDefault="00F0775A" w:rsidP="00F0775A">
      <w:pPr>
        <w:ind w:left="288"/>
      </w:pPr>
      <w:r w:rsidRPr="00825929">
        <w:rPr>
          <w:b/>
          <w:bCs/>
        </w:rPr>
        <w:t>Laboratory</w:t>
      </w:r>
      <w:r w:rsidRPr="00825929">
        <w:t xml:space="preserve">: </w:t>
      </w:r>
      <w:r w:rsidR="00667EB7">
        <w:t xml:space="preserve">For the purposes of this </w:t>
      </w:r>
      <w:r w:rsidR="002F5DE4">
        <w:t>document</w:t>
      </w:r>
      <w:r w:rsidR="00667EB7">
        <w:t xml:space="preserve">, “laboratory” refers to any space used for scientific activities </w:t>
      </w:r>
      <w:r w:rsidR="0018532C">
        <w:t xml:space="preserve">that may involve </w:t>
      </w:r>
      <w:r w:rsidR="00667EB7">
        <w:t>hazardous materials and/or equipment</w:t>
      </w:r>
      <w:r w:rsidR="0018532C">
        <w:t>, including teaching laboratories and research laboratories.</w:t>
      </w:r>
    </w:p>
    <w:p w14:paraId="31A42E14" w14:textId="177AB881" w:rsidR="00E004E8" w:rsidRPr="00825929" w:rsidRDefault="00E004E8" w:rsidP="00F0775A">
      <w:pPr>
        <w:ind w:left="288"/>
      </w:pPr>
      <w:r w:rsidRPr="004C035E">
        <w:rPr>
          <w:b/>
        </w:rPr>
        <w:t>Laboratory support space:</w:t>
      </w:r>
      <w:r>
        <w:t xml:space="preserve"> For the purposes of this document, “laboratory support space” refers to any space that supports or serves as an extension of a laboratory where hazardous materials and/or equipment </w:t>
      </w:r>
      <w:r w:rsidR="00B93946">
        <w:t xml:space="preserve">may be used or </w:t>
      </w:r>
      <w:r>
        <w:t>present. Examples include chemical storage rooms, equipment rooms, cold rooms, tissue culture rooms, microscope rooms, dark rooms</w:t>
      </w:r>
      <w:r w:rsidR="00E50EAA">
        <w:t>, growth chambers, greenhouses, and animal housing and procedure spaces</w:t>
      </w:r>
      <w:r>
        <w:t>.</w:t>
      </w:r>
    </w:p>
    <w:p w14:paraId="113B8CA4" w14:textId="4A6DBA12" w:rsidR="00667EB7" w:rsidRPr="007F0DFA" w:rsidRDefault="00DF6EDE" w:rsidP="00F0775A">
      <w:pPr>
        <w:ind w:left="288"/>
      </w:pPr>
      <w:r>
        <w:rPr>
          <w:b/>
        </w:rPr>
        <w:lastRenderedPageBreak/>
        <w:t>Hazardous m</w:t>
      </w:r>
      <w:r w:rsidR="00667EB7">
        <w:rPr>
          <w:b/>
        </w:rPr>
        <w:t xml:space="preserve">aterials: </w:t>
      </w:r>
      <w:r w:rsidR="00491963">
        <w:t>Hazardous materials include</w:t>
      </w:r>
      <w:r w:rsidR="00F6396E">
        <w:t>, but are not limited to:</w:t>
      </w:r>
      <w:r w:rsidR="00491963">
        <w:t xml:space="preserve"> </w:t>
      </w:r>
      <w:r w:rsidR="00491963" w:rsidRPr="007F0DFA">
        <w:t>c</w:t>
      </w:r>
      <w:r w:rsidRPr="007F0DFA">
        <w:t>hemical</w:t>
      </w:r>
      <w:r w:rsidR="00172954" w:rsidRPr="007F0DFA">
        <w:t>s</w:t>
      </w:r>
      <w:r w:rsidR="00667EB7" w:rsidRPr="007F0DFA">
        <w:t>, biol</w:t>
      </w:r>
      <w:r w:rsidRPr="007F0DFA">
        <w:t>ogical</w:t>
      </w:r>
      <w:r w:rsidR="00172954" w:rsidRPr="007F0DFA">
        <w:t xml:space="preserve"> agents</w:t>
      </w:r>
      <w:r w:rsidRPr="007F0DFA">
        <w:t>, radioactive materials, compressed gases, and cryogenic liquids that present a health and/or physical hazard.</w:t>
      </w:r>
    </w:p>
    <w:p w14:paraId="42E5C958" w14:textId="0D1DB5F2" w:rsidR="00DF6EDE" w:rsidRPr="007F0DFA" w:rsidRDefault="00DF6EDE" w:rsidP="00F0775A">
      <w:pPr>
        <w:ind w:left="288"/>
      </w:pPr>
      <w:r w:rsidRPr="007F0DFA">
        <w:rPr>
          <w:b/>
        </w:rPr>
        <w:t xml:space="preserve">Hazardous equipment: </w:t>
      </w:r>
      <w:r w:rsidRPr="007F0DFA">
        <w:t xml:space="preserve">Hazardous equipment </w:t>
      </w:r>
      <w:r w:rsidR="002650A4" w:rsidRPr="007F0DFA">
        <w:t>includes</w:t>
      </w:r>
      <w:r w:rsidR="00172954" w:rsidRPr="007F0DFA">
        <w:t>,</w:t>
      </w:r>
      <w:r w:rsidR="002650A4" w:rsidRPr="007F0DFA">
        <w:t xml:space="preserve"> but</w:t>
      </w:r>
      <w:r w:rsidR="00F6396E" w:rsidRPr="007F0DFA">
        <w:t xml:space="preserve"> are not limited to:</w:t>
      </w:r>
      <w:r w:rsidRPr="007F0DFA">
        <w:t xml:space="preserve"> radiation-producing equipment, lasers, and other laboratory equipment</w:t>
      </w:r>
      <w:r w:rsidR="00A25848" w:rsidRPr="007F0DFA">
        <w:t>, machinery, and tools</w:t>
      </w:r>
      <w:r w:rsidRPr="007F0DFA">
        <w:t xml:space="preserve"> that present electrical, </w:t>
      </w:r>
      <w:r w:rsidR="00E50EAA" w:rsidRPr="007F0DFA">
        <w:t xml:space="preserve">pressure, </w:t>
      </w:r>
      <w:r w:rsidRPr="007F0DFA">
        <w:t xml:space="preserve">temperature, </w:t>
      </w:r>
      <w:r w:rsidR="008002F4" w:rsidRPr="007F0DFA">
        <w:t>ultraviolet</w:t>
      </w:r>
      <w:r w:rsidRPr="007F0DFA">
        <w:t>, and/or other physical hazards.</w:t>
      </w:r>
    </w:p>
    <w:p w14:paraId="00BA84EB" w14:textId="0D2E87EA" w:rsidR="00526220" w:rsidRPr="007F0DFA" w:rsidRDefault="00526220" w:rsidP="00F0775A">
      <w:pPr>
        <w:ind w:left="288"/>
        <w:rPr>
          <w:bCs/>
        </w:rPr>
      </w:pPr>
      <w:r w:rsidRPr="007F0DFA">
        <w:rPr>
          <w:b/>
          <w:bCs/>
        </w:rPr>
        <w:t xml:space="preserve">Qualified Adult: </w:t>
      </w:r>
      <w:r w:rsidR="006E1E47" w:rsidRPr="007F0DFA">
        <w:rPr>
          <w:bCs/>
        </w:rPr>
        <w:t>A person over the age of 21 who has knowledge of the laboratory operations and hazards, and has the authority to take action in the event of a risk to the minor. The qualified adult is typically the principal investigator or his/her designee assigned to this task.</w:t>
      </w:r>
    </w:p>
    <w:p w14:paraId="470EAF6F" w14:textId="07025D1B" w:rsidR="00F0775A" w:rsidRPr="007F0DFA" w:rsidRDefault="00F0775A" w:rsidP="00F0775A">
      <w:pPr>
        <w:ind w:left="288"/>
      </w:pPr>
      <w:r w:rsidRPr="007F0DFA">
        <w:rPr>
          <w:b/>
          <w:bCs/>
        </w:rPr>
        <w:t>Personal Protective Equipment (PPE):</w:t>
      </w:r>
      <w:r w:rsidRPr="007F0DFA">
        <w:t xml:space="preserve"> Personal protective equipment is equipment worn to minimize exposure to hazards. Examples of PPE include lab coats, gloves, eye protection (safety glasses or </w:t>
      </w:r>
      <w:r w:rsidR="00E50EAA" w:rsidRPr="007F0DFA">
        <w:t xml:space="preserve">chemical </w:t>
      </w:r>
      <w:r w:rsidR="006F1DBC" w:rsidRPr="007F0DFA">
        <w:t xml:space="preserve">splash </w:t>
      </w:r>
      <w:r w:rsidRPr="007F0DFA">
        <w:t xml:space="preserve">goggles), </w:t>
      </w:r>
      <w:r w:rsidR="006F1DBC" w:rsidRPr="007F0DFA">
        <w:t>hearing protection</w:t>
      </w:r>
      <w:r w:rsidRPr="007F0DFA">
        <w:t xml:space="preserve"> (earplugs</w:t>
      </w:r>
      <w:r w:rsidR="006F1DBC" w:rsidRPr="007F0DFA">
        <w:t xml:space="preserve"> or</w:t>
      </w:r>
      <w:r w:rsidRPr="007F0DFA">
        <w:t xml:space="preserve"> muffs), respirators, </w:t>
      </w:r>
      <w:r w:rsidR="006F1DBC" w:rsidRPr="007F0DFA">
        <w:t xml:space="preserve">foot protection (steel-toed shoes), </w:t>
      </w:r>
      <w:r w:rsidRPr="007F0DFA">
        <w:t>etc.</w:t>
      </w:r>
    </w:p>
    <w:p w14:paraId="521CB602" w14:textId="4673B368" w:rsidR="00780E61" w:rsidRPr="00825929" w:rsidRDefault="00611C4E" w:rsidP="00F0775A">
      <w:pPr>
        <w:ind w:left="288"/>
      </w:pPr>
      <w:r w:rsidRPr="007F0DFA">
        <w:rPr>
          <w:b/>
        </w:rPr>
        <w:t>Appropriate</w:t>
      </w:r>
      <w:r w:rsidR="00780E61" w:rsidRPr="007F0DFA">
        <w:rPr>
          <w:b/>
        </w:rPr>
        <w:t xml:space="preserve"> Laboratory Attire:</w:t>
      </w:r>
      <w:r w:rsidR="00780E61" w:rsidRPr="007F0DFA">
        <w:t xml:space="preserve"> </w:t>
      </w:r>
      <w:r w:rsidRPr="007F0DFA">
        <w:t>Appropriate</w:t>
      </w:r>
      <w:r w:rsidR="00780E61" w:rsidRPr="007F0DFA">
        <w:t xml:space="preserve"> laboratory attire </w:t>
      </w:r>
      <w:r w:rsidRPr="007F0DFA">
        <w:t>covers the torso, legs, and feet, and accommodates a lab coat</w:t>
      </w:r>
      <w:r w:rsidR="00172954" w:rsidRPr="007F0DFA">
        <w:t xml:space="preserve"> and other required PPE</w:t>
      </w:r>
      <w:r w:rsidRPr="007F0DFA">
        <w:t>. Long hair is tied back.</w:t>
      </w:r>
    </w:p>
    <w:p w14:paraId="442EAA25" w14:textId="252235CA" w:rsidR="003704A1" w:rsidRPr="00F0775A" w:rsidRDefault="003704A1" w:rsidP="00A70BC5">
      <w:pPr>
        <w:spacing w:before="240" w:after="240"/>
        <w:rPr>
          <w:b/>
          <w:bCs/>
          <w:u w:val="single"/>
        </w:rPr>
      </w:pPr>
      <w:r w:rsidRPr="00F0775A">
        <w:rPr>
          <w:b/>
          <w:bCs/>
          <w:u w:val="single"/>
        </w:rPr>
        <w:t>PROCEDURES</w:t>
      </w:r>
    </w:p>
    <w:p w14:paraId="40805D44" w14:textId="77777777" w:rsidR="0040527E" w:rsidRDefault="00825929" w:rsidP="0040527E">
      <w:pPr>
        <w:ind w:left="288"/>
      </w:pPr>
      <w:r w:rsidRPr="00825929">
        <w:rPr>
          <w:b/>
          <w:bCs/>
        </w:rPr>
        <w:t>Minors Under age 13:</w:t>
      </w:r>
      <w:r w:rsidRPr="00825929">
        <w:t xml:space="preserve"> Minors under the age of 13 </w:t>
      </w:r>
      <w:r w:rsidR="00F52F2A">
        <w:t>are not permitted</w:t>
      </w:r>
      <w:r w:rsidRPr="00825929">
        <w:t xml:space="preserve"> </w:t>
      </w:r>
      <w:r w:rsidR="000A0EF8">
        <w:t>to enter</w:t>
      </w:r>
      <w:r w:rsidR="000A0EF8" w:rsidRPr="00825929">
        <w:t xml:space="preserve"> </w:t>
      </w:r>
      <w:r w:rsidRPr="00825929">
        <w:t>a laboratory</w:t>
      </w:r>
      <w:r w:rsidR="00F52F2A">
        <w:t xml:space="preserve"> or laboratory support space </w:t>
      </w:r>
      <w:r w:rsidR="000A0EF8">
        <w:t>unless they</w:t>
      </w:r>
      <w:r w:rsidR="00F52F2A">
        <w:t xml:space="preserve"> are participating in an </w:t>
      </w:r>
      <w:r w:rsidR="00335D38">
        <w:t>observation-only tour or visit that do</w:t>
      </w:r>
      <w:r w:rsidR="00F52F2A">
        <w:t>es</w:t>
      </w:r>
      <w:r w:rsidR="00335D38">
        <w:t xml:space="preserve"> not involve the use of hazardous materials or equipment</w:t>
      </w:r>
      <w:r w:rsidR="00AE332A">
        <w:t>.</w:t>
      </w:r>
    </w:p>
    <w:p w14:paraId="5782C638" w14:textId="507F58D9" w:rsidR="00335D38" w:rsidRDefault="00AE332A" w:rsidP="0040527E">
      <w:pPr>
        <w:ind w:left="288"/>
      </w:pPr>
      <w:r w:rsidRPr="0040527E">
        <w:rPr>
          <w:b/>
        </w:rPr>
        <w:t xml:space="preserve">Minors Participating in Observation-Only Tour or Visit: </w:t>
      </w:r>
      <w:r>
        <w:t xml:space="preserve">The following are requirements for all minors participating in observation-only tours or visits: </w:t>
      </w:r>
      <w:r w:rsidR="00B93946">
        <w:t xml:space="preserve">The tour or visit </w:t>
      </w:r>
      <w:r w:rsidR="00F52F2A">
        <w:t>is</w:t>
      </w:r>
      <w:r w:rsidR="00B93946">
        <w:t xml:space="preserve"> approved by the department head and the principal investigator (PI).</w:t>
      </w:r>
      <w:r w:rsidR="00B93946" w:rsidDel="00B93946">
        <w:t xml:space="preserve"> </w:t>
      </w:r>
    </w:p>
    <w:p w14:paraId="7714A11A" w14:textId="021C0D37" w:rsidR="00172954" w:rsidRDefault="007F0DFA" w:rsidP="00DE7FC2">
      <w:pPr>
        <w:pStyle w:val="ListParagraph"/>
        <w:numPr>
          <w:ilvl w:val="0"/>
          <w:numId w:val="19"/>
        </w:numPr>
        <w:ind w:hanging="450"/>
      </w:pPr>
      <w:r>
        <w:t>Minors participating in tours or visits have written consent by their parent or guardian</w:t>
      </w:r>
      <w:r w:rsidR="00172954">
        <w:t>.</w:t>
      </w:r>
      <w:r w:rsidR="000F66DD">
        <w:t xml:space="preserve">  Departments should retain the signed copies for at least three years.</w:t>
      </w:r>
    </w:p>
    <w:p w14:paraId="45D8E048" w14:textId="46A1F702" w:rsidR="00CE2416" w:rsidDel="00CE2416" w:rsidRDefault="00CE2416" w:rsidP="00DE7FC2">
      <w:pPr>
        <w:pStyle w:val="ListParagraph"/>
        <w:numPr>
          <w:ilvl w:val="0"/>
          <w:numId w:val="19"/>
        </w:numPr>
        <w:ind w:hanging="450"/>
      </w:pPr>
      <w:r w:rsidRPr="00825929" w:rsidDel="00CE2416">
        <w:t xml:space="preserve">Minors participating in tours or visits </w:t>
      </w:r>
      <w:r w:rsidR="00F52F2A">
        <w:t>are</w:t>
      </w:r>
      <w:r w:rsidRPr="00825929" w:rsidDel="00CE2416">
        <w:t xml:space="preserve"> supervised at all times while on the premises</w:t>
      </w:r>
      <w:r w:rsidR="00E03750">
        <w:t xml:space="preserve"> by a qualified adult designated for this responsibility</w:t>
      </w:r>
      <w:r>
        <w:t>.</w:t>
      </w:r>
      <w:r w:rsidRPr="00825929" w:rsidDel="00CE2416">
        <w:t xml:space="preserve"> </w:t>
      </w:r>
    </w:p>
    <w:p w14:paraId="703B4990" w14:textId="63C57F24" w:rsidR="00B93946" w:rsidRDefault="00B93946" w:rsidP="00DE7FC2">
      <w:pPr>
        <w:pStyle w:val="ListParagraph"/>
        <w:numPr>
          <w:ilvl w:val="0"/>
          <w:numId w:val="19"/>
        </w:numPr>
        <w:ind w:hanging="450"/>
      </w:pPr>
      <w:r>
        <w:t xml:space="preserve">Minors participating in tours or visits </w:t>
      </w:r>
      <w:r w:rsidR="00F52F2A">
        <w:t>are</w:t>
      </w:r>
      <w:r>
        <w:t xml:space="preserve"> provided with and wear</w:t>
      </w:r>
      <w:r w:rsidRPr="00825929">
        <w:t xml:space="preserve"> </w:t>
      </w:r>
      <w:r w:rsidR="00C250DC">
        <w:t xml:space="preserve">the </w:t>
      </w:r>
      <w:r w:rsidRPr="00825929">
        <w:t>personal protective equipment</w:t>
      </w:r>
      <w:r w:rsidR="00E206F3">
        <w:t xml:space="preserve"> (PPE)</w:t>
      </w:r>
      <w:r w:rsidR="00C250DC">
        <w:t xml:space="preserve"> required for entry by the specific laboratory or facility</w:t>
      </w:r>
      <w:r w:rsidRPr="00825929">
        <w:t xml:space="preserve">. </w:t>
      </w:r>
    </w:p>
    <w:p w14:paraId="2D8211F3" w14:textId="203827AB" w:rsidR="00B93946" w:rsidRDefault="00B93946" w:rsidP="00DE7FC2">
      <w:pPr>
        <w:pStyle w:val="ListParagraph"/>
        <w:numPr>
          <w:ilvl w:val="0"/>
          <w:numId w:val="19"/>
        </w:numPr>
        <w:ind w:hanging="450"/>
      </w:pPr>
      <w:r>
        <w:t xml:space="preserve">Minors participating in tours or </w:t>
      </w:r>
      <w:r w:rsidR="00C37A19">
        <w:t xml:space="preserve">visits </w:t>
      </w:r>
      <w:r>
        <w:t>wear appropriate laboratory attire.</w:t>
      </w:r>
    </w:p>
    <w:p w14:paraId="001ADB5E" w14:textId="40C0F199" w:rsidR="00CE2416" w:rsidRDefault="00CE2416" w:rsidP="00DE7FC2">
      <w:pPr>
        <w:pStyle w:val="ListParagraph"/>
        <w:numPr>
          <w:ilvl w:val="0"/>
          <w:numId w:val="19"/>
        </w:numPr>
        <w:ind w:hanging="450"/>
      </w:pPr>
      <w:r>
        <w:t xml:space="preserve">Minors participating in tours or visits </w:t>
      </w:r>
      <w:r w:rsidR="00E51033">
        <w:t>do not</w:t>
      </w:r>
      <w:r w:rsidRPr="00825929" w:rsidDel="00CE2416">
        <w:t xml:space="preserve"> </w:t>
      </w:r>
      <w:r w:rsidR="00B93946">
        <w:t>perform</w:t>
      </w:r>
      <w:r w:rsidRPr="00825929" w:rsidDel="00CE2416">
        <w:t xml:space="preserve"> any laboratory activities</w:t>
      </w:r>
      <w:r>
        <w:t xml:space="preserve"> involving hazardous materials and/or equipment</w:t>
      </w:r>
      <w:r w:rsidRPr="00825929" w:rsidDel="00CE2416">
        <w:t>.</w:t>
      </w:r>
    </w:p>
    <w:p w14:paraId="7BFE3CF1" w14:textId="20ED2E98" w:rsidR="00825929" w:rsidRPr="00825929" w:rsidRDefault="00335D38" w:rsidP="00DE7FC2">
      <w:pPr>
        <w:pStyle w:val="ListParagraph"/>
        <w:numPr>
          <w:ilvl w:val="0"/>
          <w:numId w:val="19"/>
        </w:numPr>
        <w:ind w:hanging="450"/>
      </w:pPr>
      <w:r>
        <w:t xml:space="preserve">Hazardous materials </w:t>
      </w:r>
      <w:r w:rsidR="00E51033">
        <w:t>ar</w:t>
      </w:r>
      <w:r w:rsidR="00B93946">
        <w:t xml:space="preserve">e properly stored </w:t>
      </w:r>
      <w:r w:rsidR="00373CA9">
        <w:t>and</w:t>
      </w:r>
      <w:r w:rsidR="00B93946">
        <w:t xml:space="preserve"> hazardous </w:t>
      </w:r>
      <w:r w:rsidR="00373CA9">
        <w:t xml:space="preserve">equipment </w:t>
      </w:r>
      <w:r w:rsidR="00E51033">
        <w:t>is</w:t>
      </w:r>
      <w:r w:rsidR="00AC3EA1">
        <w:t xml:space="preserve"> </w:t>
      </w:r>
      <w:r w:rsidR="00B93946">
        <w:t>in a safe mode</w:t>
      </w:r>
      <w:r w:rsidR="00825929" w:rsidRPr="00825929">
        <w:t xml:space="preserve"> </w:t>
      </w:r>
      <w:r w:rsidR="00076DA5">
        <w:t>while minors are present</w:t>
      </w:r>
      <w:r w:rsidR="00825929" w:rsidRPr="00825929">
        <w:t xml:space="preserve">. </w:t>
      </w:r>
    </w:p>
    <w:p w14:paraId="6374D11A" w14:textId="21DD9924" w:rsidR="00825929" w:rsidRPr="00825929" w:rsidRDefault="00825929" w:rsidP="003704A1">
      <w:pPr>
        <w:ind w:left="288"/>
      </w:pPr>
      <w:r w:rsidRPr="00825929">
        <w:rPr>
          <w:b/>
          <w:bCs/>
        </w:rPr>
        <w:t xml:space="preserve">Minors </w:t>
      </w:r>
      <w:r w:rsidR="00F0719B">
        <w:rPr>
          <w:b/>
          <w:bCs/>
        </w:rPr>
        <w:t>in University-Sponsored Programs</w:t>
      </w:r>
      <w:r w:rsidRPr="00825929">
        <w:t xml:space="preserve">: </w:t>
      </w:r>
      <w:r w:rsidR="00BA37B6">
        <w:t>Minors ag</w:t>
      </w:r>
      <w:r w:rsidR="009D2558">
        <w:t xml:space="preserve">e 13-17 are </w:t>
      </w:r>
      <w:r w:rsidR="006F1DBC">
        <w:t>permitted</w:t>
      </w:r>
      <w:r w:rsidR="006F1DBC" w:rsidRPr="00825929">
        <w:t xml:space="preserve"> </w:t>
      </w:r>
      <w:r w:rsidRPr="00825929">
        <w:t>in a laboratory when they are participating in a University</w:t>
      </w:r>
      <w:r w:rsidR="00CE2416">
        <w:t>-sponsored</w:t>
      </w:r>
      <w:r w:rsidR="004C035E">
        <w:t xml:space="preserve"> </w:t>
      </w:r>
      <w:r w:rsidR="000A0EF8">
        <w:t xml:space="preserve">educational </w:t>
      </w:r>
      <w:r w:rsidRPr="00825929">
        <w:t>program</w:t>
      </w:r>
      <w:r w:rsidR="00E206F3">
        <w:t xml:space="preserve">, </w:t>
      </w:r>
      <w:r w:rsidR="00F52F2A">
        <w:t xml:space="preserve">and </w:t>
      </w:r>
      <w:r w:rsidR="00E206F3">
        <w:t>the following requirements are met:</w:t>
      </w:r>
    </w:p>
    <w:p w14:paraId="08971773" w14:textId="7F015095" w:rsidR="00986871" w:rsidRPr="007F0DFA" w:rsidRDefault="000F19DF" w:rsidP="00DE7FC2">
      <w:pPr>
        <w:pStyle w:val="ListParagraph"/>
        <w:numPr>
          <w:ilvl w:val="0"/>
          <w:numId w:val="20"/>
        </w:numPr>
        <w:ind w:left="1080"/>
      </w:pPr>
      <w:r w:rsidRPr="007F0DFA">
        <w:lastRenderedPageBreak/>
        <w:t>Participation of the department and the laboratory in the p</w:t>
      </w:r>
      <w:r w:rsidR="00435E54" w:rsidRPr="007F0DFA">
        <w:t>rogram is approved by the department head and the PI</w:t>
      </w:r>
      <w:r w:rsidR="000A0EF8" w:rsidRPr="007F0DFA">
        <w:t xml:space="preserve"> responsible for the laboratory or laboratory support space</w:t>
      </w:r>
      <w:r w:rsidR="00435E54" w:rsidRPr="007F0DFA">
        <w:t>.</w:t>
      </w:r>
    </w:p>
    <w:p w14:paraId="60343B8E" w14:textId="78CF7FA5" w:rsidR="000F19DF" w:rsidRPr="007F0DFA" w:rsidRDefault="007F0DFA" w:rsidP="000F19DF">
      <w:pPr>
        <w:pStyle w:val="ListParagraph"/>
        <w:numPr>
          <w:ilvl w:val="0"/>
          <w:numId w:val="19"/>
        </w:numPr>
      </w:pPr>
      <w:r w:rsidRPr="007F0DFA">
        <w:t>Minors participating in the program have written consent from their parent or guardian.</w:t>
      </w:r>
      <w:r w:rsidR="000F66DD">
        <w:t xml:space="preserve">  Departments should retain the signed copies for at least three years.</w:t>
      </w:r>
    </w:p>
    <w:p w14:paraId="30BA3C20" w14:textId="4EDD9DE9" w:rsidR="00825929" w:rsidRDefault="000F19DF" w:rsidP="000F19DF">
      <w:pPr>
        <w:pStyle w:val="ListParagraph"/>
        <w:numPr>
          <w:ilvl w:val="0"/>
          <w:numId w:val="20"/>
        </w:numPr>
        <w:ind w:left="1080"/>
      </w:pPr>
      <w:r>
        <w:t xml:space="preserve"> </w:t>
      </w:r>
      <w:r w:rsidR="00CE2416">
        <w:t xml:space="preserve">Minors participating in the program </w:t>
      </w:r>
      <w:r w:rsidR="00825929" w:rsidRPr="00825929">
        <w:t xml:space="preserve">have received </w:t>
      </w:r>
      <w:r w:rsidR="00491963">
        <w:t>training on the hazardous materials and equipment they will use or have potential exposure to</w:t>
      </w:r>
      <w:r w:rsidR="00825929" w:rsidRPr="00825929">
        <w:t>.</w:t>
      </w:r>
      <w:r w:rsidR="00491963">
        <w:t xml:space="preserve"> The training length and content is specific to the program and may be provided by the Environmental Health and Safety Department (EHS)</w:t>
      </w:r>
      <w:r w:rsidR="00F0719B">
        <w:t>,</w:t>
      </w:r>
      <w:r w:rsidR="003F6E8F">
        <w:t xml:space="preserve"> </w:t>
      </w:r>
      <w:r w:rsidR="00491963">
        <w:t xml:space="preserve">the principal investigator or </w:t>
      </w:r>
      <w:r w:rsidR="00435E54">
        <w:t xml:space="preserve">direct </w:t>
      </w:r>
      <w:r w:rsidR="00682BCE">
        <w:t xml:space="preserve">laboratory </w:t>
      </w:r>
      <w:r w:rsidR="00435E54">
        <w:t>supervisor</w:t>
      </w:r>
      <w:r w:rsidR="00F0719B">
        <w:t xml:space="preserve">, and/or the program </w:t>
      </w:r>
      <w:r w:rsidR="00682BCE">
        <w:t>leader</w:t>
      </w:r>
      <w:r w:rsidR="00CE2416">
        <w:t xml:space="preserve"> as appropriate</w:t>
      </w:r>
      <w:r w:rsidR="00491963">
        <w:t>.</w:t>
      </w:r>
      <w:r w:rsidR="00825929" w:rsidRPr="00825929">
        <w:t xml:space="preserve"> </w:t>
      </w:r>
      <w:r w:rsidR="00E206F3">
        <w:t>The training must be documented</w:t>
      </w:r>
      <w:r w:rsidR="00CD130C">
        <w:t xml:space="preserve"> and maintained by the </w:t>
      </w:r>
      <w:r w:rsidR="00E03750">
        <w:t xml:space="preserve">laboratory supervisor, </w:t>
      </w:r>
      <w:r w:rsidR="00CD130C">
        <w:t>program coordinator and/or EHS.</w:t>
      </w:r>
    </w:p>
    <w:p w14:paraId="73A15570" w14:textId="58806A39" w:rsidR="00825929" w:rsidRDefault="00CE2416" w:rsidP="00DE7FC2">
      <w:pPr>
        <w:pStyle w:val="ListParagraph"/>
        <w:numPr>
          <w:ilvl w:val="0"/>
          <w:numId w:val="20"/>
        </w:numPr>
        <w:ind w:left="1080"/>
      </w:pPr>
      <w:r>
        <w:t>Minors participating in the program</w:t>
      </w:r>
      <w:r w:rsidRPr="00825929">
        <w:t xml:space="preserve"> </w:t>
      </w:r>
      <w:r w:rsidR="00E206F3">
        <w:t>are supervised</w:t>
      </w:r>
      <w:r>
        <w:t xml:space="preserve"> </w:t>
      </w:r>
      <w:r w:rsidR="006F1DBC" w:rsidRPr="00825929">
        <w:t>at all times</w:t>
      </w:r>
      <w:r w:rsidR="00E03750">
        <w:t xml:space="preserve"> by a qualified adult designated for this responsibility</w:t>
      </w:r>
      <w:r w:rsidR="00825929" w:rsidRPr="00825929">
        <w:t xml:space="preserve">. </w:t>
      </w:r>
    </w:p>
    <w:p w14:paraId="57C7525A" w14:textId="0D187B80" w:rsidR="00E206F3" w:rsidRDefault="00CE2416" w:rsidP="00DE7FC2">
      <w:pPr>
        <w:pStyle w:val="ListParagraph"/>
        <w:numPr>
          <w:ilvl w:val="0"/>
          <w:numId w:val="20"/>
        </w:numPr>
        <w:ind w:left="1080"/>
      </w:pPr>
      <w:r>
        <w:t xml:space="preserve">Minors participating in the program </w:t>
      </w:r>
      <w:r w:rsidR="00E206F3">
        <w:t>are provided with and wear all required p</w:t>
      </w:r>
      <w:r w:rsidR="002C6B6A" w:rsidRPr="00825929">
        <w:t>erson</w:t>
      </w:r>
      <w:r w:rsidR="002C6B6A">
        <w:t xml:space="preserve">al </w:t>
      </w:r>
      <w:r w:rsidR="00E206F3">
        <w:t>p</w:t>
      </w:r>
      <w:r w:rsidR="002C6B6A">
        <w:t xml:space="preserve">rotective </w:t>
      </w:r>
      <w:r w:rsidR="00E206F3">
        <w:t>e</w:t>
      </w:r>
      <w:r w:rsidR="002C6B6A">
        <w:t>quipment (PPE)</w:t>
      </w:r>
      <w:r w:rsidR="00E206F3">
        <w:t>.</w:t>
      </w:r>
    </w:p>
    <w:p w14:paraId="0F57A446" w14:textId="571D5193" w:rsidR="002C6B6A" w:rsidRPr="00825929" w:rsidRDefault="00E206F3" w:rsidP="00DE7FC2">
      <w:pPr>
        <w:pStyle w:val="ListParagraph"/>
        <w:numPr>
          <w:ilvl w:val="0"/>
          <w:numId w:val="20"/>
        </w:numPr>
        <w:ind w:left="1080"/>
      </w:pPr>
      <w:r>
        <w:t>Minors participating in the program wear</w:t>
      </w:r>
      <w:r w:rsidR="00076DA5">
        <w:t xml:space="preserve"> </w:t>
      </w:r>
      <w:r w:rsidR="00E51033">
        <w:t xml:space="preserve">appropriate </w:t>
      </w:r>
      <w:r w:rsidR="00076DA5">
        <w:t>laboratory attire</w:t>
      </w:r>
      <w:r w:rsidR="002C6B6A">
        <w:t>.</w:t>
      </w:r>
    </w:p>
    <w:p w14:paraId="381C39EA" w14:textId="5865C9B4" w:rsidR="006F1DBC" w:rsidRPr="00825929" w:rsidRDefault="00825929" w:rsidP="00714D6D">
      <w:pPr>
        <w:ind w:left="288"/>
      </w:pPr>
      <w:r w:rsidRPr="006F1DBC">
        <w:rPr>
          <w:b/>
          <w:bCs/>
        </w:rPr>
        <w:t>Minors working and interning in lab</w:t>
      </w:r>
      <w:r w:rsidR="00E206F3">
        <w:rPr>
          <w:b/>
          <w:bCs/>
        </w:rPr>
        <w:t>oratorie</w:t>
      </w:r>
      <w:r w:rsidRPr="006F1DBC">
        <w:rPr>
          <w:b/>
          <w:bCs/>
        </w:rPr>
        <w:t>s:</w:t>
      </w:r>
      <w:r w:rsidR="0054368D" w:rsidRPr="006F1DBC">
        <w:rPr>
          <w:bCs/>
        </w:rPr>
        <w:t xml:space="preserve"> Minors </w:t>
      </w:r>
      <w:r w:rsidR="006F1DBC" w:rsidRPr="006F1DBC">
        <w:rPr>
          <w:bCs/>
        </w:rPr>
        <w:t xml:space="preserve">age 16-17 </w:t>
      </w:r>
      <w:r w:rsidR="0054368D" w:rsidRPr="006F1DBC">
        <w:rPr>
          <w:bCs/>
        </w:rPr>
        <w:t xml:space="preserve">are </w:t>
      </w:r>
      <w:r w:rsidR="006F1DBC" w:rsidRPr="006F1DBC">
        <w:rPr>
          <w:bCs/>
        </w:rPr>
        <w:t xml:space="preserve">permitted </w:t>
      </w:r>
      <w:r w:rsidR="0054368D" w:rsidRPr="006F1DBC">
        <w:rPr>
          <w:bCs/>
        </w:rPr>
        <w:t xml:space="preserve">to work and intern in </w:t>
      </w:r>
      <w:r w:rsidR="004808BB">
        <w:rPr>
          <w:bCs/>
        </w:rPr>
        <w:t>laboratories, provided</w:t>
      </w:r>
      <w:r w:rsidR="006F1DBC" w:rsidRPr="00825929">
        <w:t xml:space="preserve"> </w:t>
      </w:r>
      <w:r w:rsidR="009376C1">
        <w:t>the</w:t>
      </w:r>
      <w:r w:rsidR="006F1DBC" w:rsidRPr="00825929">
        <w:t xml:space="preserve"> </w:t>
      </w:r>
      <w:r w:rsidR="009376C1">
        <w:t xml:space="preserve">requirements in the </w:t>
      </w:r>
      <w:r w:rsidR="006F1DBC" w:rsidRPr="00825929">
        <w:t>Fair Labor Standards Act (FLSA</w:t>
      </w:r>
      <w:r w:rsidR="00427DA2">
        <w:t>) and the following requirements</w:t>
      </w:r>
      <w:r w:rsidR="009376C1">
        <w:t xml:space="preserve"> are met</w:t>
      </w:r>
      <w:r w:rsidR="006F1DBC" w:rsidRPr="00825929">
        <w:t xml:space="preserve">: </w:t>
      </w:r>
    </w:p>
    <w:p w14:paraId="5F2E2DD8" w14:textId="369CD0E3" w:rsidR="00825929" w:rsidRPr="007F0DFA" w:rsidRDefault="007F0DFA" w:rsidP="000F19DF">
      <w:pPr>
        <w:pStyle w:val="ListParagraph"/>
        <w:numPr>
          <w:ilvl w:val="0"/>
          <w:numId w:val="19"/>
        </w:numPr>
      </w:pPr>
      <w:r w:rsidRPr="007F0DFA">
        <w:t>Minors working or interning in a laboratory have written consent from their parent or guardian.</w:t>
      </w:r>
      <w:r w:rsidR="000F66DD">
        <w:t xml:space="preserve">  Departments should retain the signed copies for at least three years.</w:t>
      </w:r>
    </w:p>
    <w:p w14:paraId="25653073" w14:textId="77CAD211" w:rsidR="00CD130C" w:rsidRPr="007F0DFA" w:rsidRDefault="00CD130C" w:rsidP="00DE7FC2">
      <w:pPr>
        <w:pStyle w:val="ListParagraph"/>
        <w:numPr>
          <w:ilvl w:val="0"/>
          <w:numId w:val="21"/>
        </w:numPr>
        <w:ind w:left="1080"/>
      </w:pPr>
      <w:r w:rsidRPr="007F0DFA">
        <w:t>Minors working or interning in a lab</w:t>
      </w:r>
      <w:r w:rsidR="009376C1" w:rsidRPr="007F0DFA">
        <w:t>oratory</w:t>
      </w:r>
      <w:r w:rsidRPr="007F0DFA">
        <w:t xml:space="preserve"> are under the direct supervision of a qualified adult designated for this responsibility.</w:t>
      </w:r>
    </w:p>
    <w:p w14:paraId="49ABFBB8" w14:textId="3C9948ED" w:rsidR="009376C1" w:rsidRPr="007F0DFA" w:rsidRDefault="009376C1" w:rsidP="00DE7FC2">
      <w:pPr>
        <w:pStyle w:val="ListParagraph"/>
        <w:numPr>
          <w:ilvl w:val="0"/>
          <w:numId w:val="21"/>
        </w:numPr>
        <w:ind w:left="1080"/>
      </w:pPr>
      <w:r w:rsidRPr="007F0DFA">
        <w:t xml:space="preserve">Minors working or interning in a laboratory are not permitted to work alone in </w:t>
      </w:r>
      <w:r w:rsidR="001B2440" w:rsidRPr="007F0DFA">
        <w:t>the</w:t>
      </w:r>
      <w:r w:rsidRPr="007F0DFA">
        <w:t xml:space="preserve"> laboratory, regardless of the work they are </w:t>
      </w:r>
      <w:r w:rsidR="001B2440" w:rsidRPr="007F0DFA">
        <w:t>performing</w:t>
      </w:r>
      <w:r w:rsidRPr="007F0DFA">
        <w:t>.</w:t>
      </w:r>
    </w:p>
    <w:p w14:paraId="09A1A52B" w14:textId="132075EE" w:rsidR="00825929" w:rsidRPr="007F0DFA" w:rsidRDefault="00CE2416" w:rsidP="00DE7FC2">
      <w:pPr>
        <w:pStyle w:val="ListParagraph"/>
        <w:numPr>
          <w:ilvl w:val="0"/>
          <w:numId w:val="21"/>
        </w:numPr>
        <w:ind w:left="1080"/>
      </w:pPr>
      <w:r w:rsidRPr="007F0DFA">
        <w:t>Minors working or interning in a lab</w:t>
      </w:r>
      <w:r w:rsidR="00E206F3" w:rsidRPr="007F0DFA">
        <w:t>oratory</w:t>
      </w:r>
      <w:r w:rsidRPr="007F0DFA">
        <w:t xml:space="preserve"> </w:t>
      </w:r>
      <w:r w:rsidR="00825929" w:rsidRPr="007F0DFA">
        <w:t xml:space="preserve">have received </w:t>
      </w:r>
      <w:r w:rsidR="00E206F3" w:rsidRPr="007F0DFA">
        <w:t>all applicable</w:t>
      </w:r>
      <w:r w:rsidR="00CD130C" w:rsidRPr="007F0DFA">
        <w:t xml:space="preserve"> </w:t>
      </w:r>
      <w:r w:rsidR="00825929" w:rsidRPr="007F0DFA">
        <w:t>lab</w:t>
      </w:r>
      <w:r w:rsidR="00E206F3" w:rsidRPr="007F0DFA">
        <w:t>oratory</w:t>
      </w:r>
      <w:r w:rsidR="00825929" w:rsidRPr="007F0DFA">
        <w:t xml:space="preserve"> safety training from EHS</w:t>
      </w:r>
      <w:r w:rsidR="00E206F3" w:rsidRPr="007F0DFA">
        <w:t>, and the t</w:t>
      </w:r>
      <w:r w:rsidR="004C035E" w:rsidRPr="007F0DFA">
        <w:t>r</w:t>
      </w:r>
      <w:r w:rsidR="000F19DF" w:rsidRPr="007F0DFA">
        <w:t xml:space="preserve">aining is documented through </w:t>
      </w:r>
      <w:proofErr w:type="spellStart"/>
      <w:r w:rsidR="000F19DF" w:rsidRPr="007F0DFA">
        <w:t>CU</w:t>
      </w:r>
      <w:r w:rsidR="004C035E" w:rsidRPr="007F0DFA">
        <w:t>Learn</w:t>
      </w:r>
      <w:proofErr w:type="spellEnd"/>
      <w:r w:rsidR="004C035E" w:rsidRPr="007F0DFA">
        <w:t>.</w:t>
      </w:r>
    </w:p>
    <w:p w14:paraId="010B1611" w14:textId="7FF25282" w:rsidR="006F1DBC" w:rsidRPr="00825929" w:rsidRDefault="004C035E" w:rsidP="00DE7FC2">
      <w:pPr>
        <w:pStyle w:val="ListParagraph"/>
        <w:numPr>
          <w:ilvl w:val="0"/>
          <w:numId w:val="21"/>
        </w:numPr>
        <w:ind w:left="1080"/>
      </w:pPr>
      <w:r w:rsidRPr="007F0DFA">
        <w:t>Minors working or interning in a lab</w:t>
      </w:r>
      <w:r w:rsidR="00E206F3" w:rsidRPr="007F0DFA">
        <w:t>oratory</w:t>
      </w:r>
      <w:r w:rsidRPr="007F0DFA">
        <w:t xml:space="preserve"> </w:t>
      </w:r>
      <w:r w:rsidR="006F1DBC" w:rsidRPr="007F0DFA">
        <w:t>have received training on the specifi</w:t>
      </w:r>
      <w:r w:rsidR="006F1DBC">
        <w:t>c hazard</w:t>
      </w:r>
      <w:r w:rsidR="00CF25EF">
        <w:t xml:space="preserve">ous materials and </w:t>
      </w:r>
      <w:r w:rsidR="008C02DB">
        <w:t>equipment</w:t>
      </w:r>
      <w:r w:rsidR="006F1DBC">
        <w:t xml:space="preserve"> present in the laboratory by the PI or designee</w:t>
      </w:r>
      <w:r w:rsidR="00E206F3">
        <w:t>,</w:t>
      </w:r>
      <w:r>
        <w:t xml:space="preserve"> </w:t>
      </w:r>
      <w:r w:rsidR="00CD130C">
        <w:t>a</w:t>
      </w:r>
      <w:r w:rsidR="00E206F3">
        <w:t>nd the t</w:t>
      </w:r>
      <w:r>
        <w:t>raining is documented and maintained by the laboratory.</w:t>
      </w:r>
    </w:p>
    <w:p w14:paraId="1CD7BDDB" w14:textId="57C957C1" w:rsidR="00CD130C" w:rsidRDefault="004C035E" w:rsidP="00DE7FC2">
      <w:pPr>
        <w:pStyle w:val="ListParagraph"/>
        <w:numPr>
          <w:ilvl w:val="0"/>
          <w:numId w:val="21"/>
        </w:numPr>
        <w:ind w:left="1080"/>
      </w:pPr>
      <w:r>
        <w:t>Minors working or interning in a lab</w:t>
      </w:r>
      <w:r w:rsidR="00CD130C">
        <w:t xml:space="preserve">oratory are provided with and </w:t>
      </w:r>
      <w:r w:rsidR="009376C1">
        <w:t>wear</w:t>
      </w:r>
      <w:r w:rsidR="00825929" w:rsidRPr="00825929">
        <w:t xml:space="preserve"> </w:t>
      </w:r>
      <w:r w:rsidR="00CD130C">
        <w:t>all required</w:t>
      </w:r>
      <w:r w:rsidR="00825929" w:rsidRPr="00825929">
        <w:t xml:space="preserve"> </w:t>
      </w:r>
      <w:r w:rsidR="00CD130C">
        <w:t>p</w:t>
      </w:r>
      <w:r w:rsidR="00825929" w:rsidRPr="00825929">
        <w:t>ersonal</w:t>
      </w:r>
      <w:r w:rsidR="00CD130C">
        <w:t xml:space="preserve"> p</w:t>
      </w:r>
      <w:r w:rsidR="00825929" w:rsidRPr="00825929">
        <w:t xml:space="preserve">rotective </w:t>
      </w:r>
      <w:r w:rsidR="00CD130C">
        <w:t>e</w:t>
      </w:r>
      <w:r w:rsidR="00825929" w:rsidRPr="00825929">
        <w:t>quipment (PPE)</w:t>
      </w:r>
      <w:r w:rsidR="00CD130C">
        <w:t>.</w:t>
      </w:r>
    </w:p>
    <w:p w14:paraId="194A1E91" w14:textId="66F7E809" w:rsidR="00825929" w:rsidRPr="00825929" w:rsidRDefault="00CD130C" w:rsidP="00DE7FC2">
      <w:pPr>
        <w:pStyle w:val="ListParagraph"/>
        <w:numPr>
          <w:ilvl w:val="0"/>
          <w:numId w:val="21"/>
        </w:numPr>
        <w:ind w:left="1080"/>
      </w:pPr>
      <w:r>
        <w:t>Minors working</w:t>
      </w:r>
      <w:r w:rsidR="001B2440">
        <w:t xml:space="preserve"> or interning</w:t>
      </w:r>
      <w:r>
        <w:t xml:space="preserve"> in a laboratory wear</w:t>
      </w:r>
      <w:r w:rsidR="00CF25EF">
        <w:t xml:space="preserve"> proper laboratory attire</w:t>
      </w:r>
      <w:r w:rsidR="00825929" w:rsidRPr="00825929">
        <w:t>.</w:t>
      </w:r>
    </w:p>
    <w:p w14:paraId="0A0C1927" w14:textId="39B68691" w:rsidR="00825929" w:rsidRDefault="00825929" w:rsidP="003704A1">
      <w:pPr>
        <w:ind w:left="288"/>
      </w:pPr>
      <w:r w:rsidRPr="00825929">
        <w:rPr>
          <w:b/>
          <w:bCs/>
        </w:rPr>
        <w:t>Minors volunteering in labs</w:t>
      </w:r>
      <w:r w:rsidRPr="00825929">
        <w:t xml:space="preserve">: </w:t>
      </w:r>
      <w:r w:rsidR="00986871">
        <w:t>Due to liability reasons, t</w:t>
      </w:r>
      <w:r w:rsidRPr="00825929">
        <w:t>he University Volunteers Policy, 6.5</w:t>
      </w:r>
      <w:r w:rsidR="00833DA2">
        <w:t>,</w:t>
      </w:r>
      <w:r w:rsidRPr="00825929">
        <w:t xml:space="preserve"> prohibits minors</w:t>
      </w:r>
      <w:r w:rsidR="00833DA2">
        <w:t xml:space="preserve"> from</w:t>
      </w:r>
      <w:r w:rsidRPr="00825929">
        <w:t xml:space="preserve"> work</w:t>
      </w:r>
      <w:r w:rsidR="00833DA2">
        <w:t>ing</w:t>
      </w:r>
      <w:r w:rsidRPr="00825929">
        <w:t xml:space="preserve"> in university labs on any volunteer basis, regardless of the work being performed.</w:t>
      </w:r>
    </w:p>
    <w:p w14:paraId="2A553854" w14:textId="150C9661" w:rsidR="007F628C" w:rsidRPr="007F628C" w:rsidRDefault="007F628C" w:rsidP="007F628C">
      <w:pPr>
        <w:ind w:left="288"/>
        <w:rPr>
          <w:b/>
        </w:rPr>
      </w:pPr>
      <w:r>
        <w:rPr>
          <w:b/>
        </w:rPr>
        <w:t xml:space="preserve">Minor children or guests: </w:t>
      </w:r>
      <w:r>
        <w:t>Minor children or guests of university personnel and visitors are not permitted in university labs.</w:t>
      </w:r>
    </w:p>
    <w:p w14:paraId="23D0EDC8" w14:textId="77777777" w:rsidR="007F628C" w:rsidRDefault="007F628C" w:rsidP="00A70BC5">
      <w:pPr>
        <w:spacing w:before="240" w:after="240"/>
        <w:rPr>
          <w:b/>
          <w:bCs/>
          <w:caps/>
          <w:u w:val="single"/>
        </w:rPr>
      </w:pPr>
    </w:p>
    <w:p w14:paraId="50145B51" w14:textId="1FA4DDA0" w:rsidR="00CC3F72" w:rsidRPr="00A70BC5" w:rsidRDefault="00CC3F72" w:rsidP="00A70BC5">
      <w:pPr>
        <w:spacing w:before="240" w:after="240"/>
        <w:rPr>
          <w:b/>
          <w:bCs/>
          <w:caps/>
          <w:u w:val="single"/>
        </w:rPr>
      </w:pPr>
      <w:r w:rsidRPr="00A70BC5">
        <w:rPr>
          <w:b/>
          <w:bCs/>
          <w:caps/>
          <w:u w:val="single"/>
        </w:rPr>
        <w:lastRenderedPageBreak/>
        <w:t>Prohibited or Restricted Materials</w:t>
      </w:r>
      <w:r w:rsidR="00A70BC5">
        <w:rPr>
          <w:b/>
          <w:bCs/>
          <w:caps/>
          <w:u w:val="single"/>
        </w:rPr>
        <w:t>, Equipment, and spaces</w:t>
      </w:r>
    </w:p>
    <w:p w14:paraId="48FF2421" w14:textId="3336B17E" w:rsidR="0062066B" w:rsidRPr="00536D83" w:rsidRDefault="0062066B" w:rsidP="00C37B26">
      <w:pPr>
        <w:rPr>
          <w:b/>
        </w:rPr>
      </w:pPr>
      <w:r>
        <w:rPr>
          <w:b/>
        </w:rPr>
        <w:t>Radioactive Materials Use</w:t>
      </w:r>
    </w:p>
    <w:p w14:paraId="21EC19D5" w14:textId="77777777" w:rsidR="00303C66" w:rsidRDefault="00615C7B" w:rsidP="00536D83">
      <w:pPr>
        <w:pStyle w:val="ListParagraph"/>
        <w:numPr>
          <w:ilvl w:val="0"/>
          <w:numId w:val="27"/>
        </w:numPr>
      </w:pPr>
      <w:r>
        <w:t>Per Cornell University’s NYDOH radioactive materials license, all</w:t>
      </w:r>
      <w:r w:rsidR="004914C1">
        <w:t xml:space="preserve"> use of radioactive materials </w:t>
      </w:r>
      <w:r w:rsidR="0062066B">
        <w:t>is</w:t>
      </w:r>
      <w:r>
        <w:t xml:space="preserve"> approved by the Radiation Safety Committee</w:t>
      </w:r>
      <w:r w:rsidR="0062066B">
        <w:t xml:space="preserve"> through the issuance of permits</w:t>
      </w:r>
      <w:r>
        <w:t xml:space="preserve">. </w:t>
      </w:r>
    </w:p>
    <w:p w14:paraId="4B9DB36D" w14:textId="77777777" w:rsidR="00303C66" w:rsidRDefault="0062066B" w:rsidP="00536D83">
      <w:pPr>
        <w:pStyle w:val="ListParagraph"/>
        <w:numPr>
          <w:ilvl w:val="0"/>
          <w:numId w:val="27"/>
        </w:numPr>
      </w:pPr>
      <w:r>
        <w:t xml:space="preserve">The addition of any radioactive materials user to a permit, including minors, must be approved by the Radiation Safety Officer (RSO). </w:t>
      </w:r>
    </w:p>
    <w:p w14:paraId="7EACE1B8" w14:textId="75380C43" w:rsidR="000F79D1" w:rsidRDefault="0062066B" w:rsidP="00536D83">
      <w:pPr>
        <w:pStyle w:val="ListParagraph"/>
        <w:numPr>
          <w:ilvl w:val="0"/>
          <w:numId w:val="27"/>
        </w:numPr>
      </w:pPr>
      <w:r>
        <w:t xml:space="preserve">Specific </w:t>
      </w:r>
      <w:r w:rsidR="003432A7">
        <w:t xml:space="preserve">restrictions for minors working with </w:t>
      </w:r>
      <w:r>
        <w:t>radioactive materials</w:t>
      </w:r>
      <w:r w:rsidR="003432A7">
        <w:t xml:space="preserve"> and radiation producing equipment are listed in the f</w:t>
      </w:r>
      <w:r w:rsidR="00FA084F">
        <w:t>ollowing table</w:t>
      </w:r>
      <w:r w:rsidR="003432A7">
        <w:t>.</w:t>
      </w:r>
    </w:p>
    <w:p w14:paraId="6E47240C" w14:textId="31A99B2E" w:rsidR="0062066B" w:rsidRDefault="0062066B" w:rsidP="00C37B26">
      <w:pPr>
        <w:rPr>
          <w:b/>
        </w:rPr>
      </w:pPr>
      <w:r>
        <w:rPr>
          <w:b/>
        </w:rPr>
        <w:t>Biological Materials Use</w:t>
      </w:r>
    </w:p>
    <w:p w14:paraId="3C6DBC58" w14:textId="77777777" w:rsidR="00303C66" w:rsidRDefault="008F546F" w:rsidP="00536D83">
      <w:pPr>
        <w:pStyle w:val="ListParagraph"/>
        <w:numPr>
          <w:ilvl w:val="0"/>
          <w:numId w:val="25"/>
        </w:numPr>
        <w:rPr>
          <w:b/>
        </w:rPr>
      </w:pPr>
      <w:r w:rsidRPr="00536D83">
        <w:t>Contact the Biosafety Officer (BSO) for approval for minors to work with Risk Group 2 agents. A risk-based approach will be utilized</w:t>
      </w:r>
      <w:r w:rsidR="00303C66" w:rsidRPr="00536D83">
        <w:t xml:space="preserve"> to determine approval</w:t>
      </w:r>
      <w:r w:rsidRPr="00536D83">
        <w:t xml:space="preserve"> based on the specific agent</w:t>
      </w:r>
      <w:r w:rsidR="00303C66" w:rsidRPr="00303C66">
        <w:rPr>
          <w:b/>
        </w:rPr>
        <w:t>.</w:t>
      </w:r>
      <w:r w:rsidRPr="00303C66">
        <w:rPr>
          <w:b/>
        </w:rPr>
        <w:t xml:space="preserve"> </w:t>
      </w:r>
    </w:p>
    <w:p w14:paraId="52B311D2" w14:textId="20C53355" w:rsidR="00F021CA" w:rsidRPr="007F0DFA" w:rsidRDefault="008A2D17" w:rsidP="00536D83">
      <w:pPr>
        <w:pStyle w:val="ListParagraph"/>
        <w:numPr>
          <w:ilvl w:val="0"/>
          <w:numId w:val="25"/>
        </w:numPr>
        <w:rPr>
          <w:b/>
        </w:rPr>
      </w:pPr>
      <w:r>
        <w:t>Cornell University’s Institutional Biosafety C</w:t>
      </w:r>
      <w:r w:rsidRPr="007F0DFA">
        <w:t>ommittee</w:t>
      </w:r>
      <w:r w:rsidR="000F19DF" w:rsidRPr="007F0DFA">
        <w:t xml:space="preserve"> (IBC)</w:t>
      </w:r>
      <w:r w:rsidRPr="007F0DFA">
        <w:t xml:space="preserve"> is responsible for the oversight of activities involving biohazardous materials, and use is approved via a</w:t>
      </w:r>
      <w:r w:rsidR="00036242" w:rsidRPr="007F0DFA">
        <w:t xml:space="preserve"> Memorandum of Understanding and Agreement (MUA). The addition of individuals to the MUA, including minors, requires an amendment.</w:t>
      </w:r>
      <w:r w:rsidR="00303C66" w:rsidRPr="007F0DFA" w:rsidDel="00303C66">
        <w:rPr>
          <w:b/>
        </w:rPr>
        <w:t xml:space="preserve"> </w:t>
      </w:r>
    </w:p>
    <w:p w14:paraId="484EF8A1" w14:textId="11C34E93" w:rsidR="000F19DF" w:rsidRPr="007F0DFA" w:rsidRDefault="000F19DF" w:rsidP="00536D83">
      <w:pPr>
        <w:pStyle w:val="ListParagraph"/>
        <w:numPr>
          <w:ilvl w:val="0"/>
          <w:numId w:val="25"/>
        </w:numPr>
      </w:pPr>
      <w:r w:rsidRPr="007F0DFA">
        <w:t xml:space="preserve">Cornell University’s Institutional Animal Care and Use Committee (IACUC) is responsible for the oversight of activities involving </w:t>
      </w:r>
      <w:r w:rsidR="00D163A3">
        <w:t xml:space="preserve">research </w:t>
      </w:r>
      <w:bookmarkStart w:id="0" w:name="_GoBack"/>
      <w:bookmarkEnd w:id="0"/>
      <w:r w:rsidRPr="007F0DFA">
        <w:t>animals, and use is approved via a protocol review process. The addition of individuals to the protocol, including minors, requires an amendment.</w:t>
      </w:r>
    </w:p>
    <w:p w14:paraId="48730577" w14:textId="3DF16C3A" w:rsidR="00303C66" w:rsidRPr="00536D83" w:rsidRDefault="00303C66" w:rsidP="00536D83">
      <w:pPr>
        <w:pStyle w:val="ListParagraph"/>
        <w:numPr>
          <w:ilvl w:val="0"/>
          <w:numId w:val="25"/>
        </w:numPr>
      </w:pPr>
      <w:r w:rsidRPr="00536D83">
        <w:t>Specific restrictions for minors working with biological materials ar</w:t>
      </w:r>
      <w:r w:rsidR="00D01D5A">
        <w:t>e listed in the following table</w:t>
      </w:r>
      <w:r w:rsidRPr="00536D83">
        <w:t>.</w:t>
      </w:r>
    </w:p>
    <w:p w14:paraId="22CCCDCE" w14:textId="77C6C1AA" w:rsidR="00AF39C5" w:rsidRDefault="000A0EF8">
      <w:pPr>
        <w:rPr>
          <w:u w:val="single"/>
        </w:rPr>
      </w:pPr>
      <w:r>
        <w:t xml:space="preserve">The </w:t>
      </w:r>
      <w:r w:rsidR="00303C66">
        <w:t>following table</w:t>
      </w:r>
      <w:r>
        <w:t xml:space="preserve"> outline</w:t>
      </w:r>
      <w:r w:rsidR="00526220">
        <w:t>s</w:t>
      </w:r>
      <w:r>
        <w:t xml:space="preserve"> </w:t>
      </w:r>
      <w:r w:rsidR="00303C66">
        <w:t xml:space="preserve">the </w:t>
      </w:r>
      <w:r>
        <w:t>specific materials, equipment, and spaces that are prohibited or restricted for minors in laboratories and laboratory support spaces.</w:t>
      </w:r>
      <w:r w:rsidR="00AF0DC5">
        <w:t xml:space="preserve"> </w:t>
      </w:r>
    </w:p>
    <w:p w14:paraId="741301AB" w14:textId="77777777" w:rsidR="00AF39C5" w:rsidRDefault="00AF39C5" w:rsidP="00AF0DC5">
      <w:pPr>
        <w:rPr>
          <w:u w:val="single"/>
        </w:rPr>
        <w:sectPr w:rsidR="00AF39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tbl>
      <w:tblPr>
        <w:tblStyle w:val="TableGrid"/>
        <w:tblW w:w="13855" w:type="dxa"/>
        <w:tblLook w:val="04A0" w:firstRow="1" w:lastRow="0" w:firstColumn="1" w:lastColumn="0" w:noHBand="0" w:noVBand="1"/>
      </w:tblPr>
      <w:tblGrid>
        <w:gridCol w:w="1435"/>
        <w:gridCol w:w="6210"/>
        <w:gridCol w:w="6210"/>
      </w:tblGrid>
      <w:tr w:rsidR="00AF39C5" w:rsidRPr="00DE7FC2" w14:paraId="681220AF" w14:textId="77777777" w:rsidTr="00DE7FC2">
        <w:tc>
          <w:tcPr>
            <w:tcW w:w="1435" w:type="dxa"/>
            <w:vAlign w:val="center"/>
          </w:tcPr>
          <w:p w14:paraId="6BEA1223" w14:textId="77777777" w:rsidR="00AF39C5" w:rsidRPr="00DE7FC2" w:rsidRDefault="00AF39C5" w:rsidP="00DE7FC2">
            <w:pPr>
              <w:spacing w:line="259" w:lineRule="auto"/>
              <w:jc w:val="center"/>
              <w:rPr>
                <w:rFonts w:ascii="Times New Roman" w:hAnsi="Times New Roman" w:cs="Times New Roman"/>
                <w:b/>
                <w:sz w:val="23"/>
                <w:szCs w:val="23"/>
              </w:rPr>
            </w:pPr>
            <w:r w:rsidRPr="00DE7FC2">
              <w:rPr>
                <w:rFonts w:ascii="Times New Roman" w:hAnsi="Times New Roman" w:cs="Times New Roman"/>
                <w:b/>
                <w:sz w:val="23"/>
                <w:szCs w:val="23"/>
              </w:rPr>
              <w:lastRenderedPageBreak/>
              <w:t>Category</w:t>
            </w:r>
          </w:p>
        </w:tc>
        <w:tc>
          <w:tcPr>
            <w:tcW w:w="6210" w:type="dxa"/>
            <w:vAlign w:val="center"/>
          </w:tcPr>
          <w:p w14:paraId="0DC6B570" w14:textId="77777777" w:rsidR="00AF39C5" w:rsidRPr="00DE7FC2" w:rsidRDefault="00AF39C5" w:rsidP="00DE7FC2">
            <w:pPr>
              <w:spacing w:line="259" w:lineRule="auto"/>
              <w:jc w:val="center"/>
              <w:rPr>
                <w:rFonts w:ascii="Times New Roman" w:hAnsi="Times New Roman" w:cs="Times New Roman"/>
                <w:b/>
                <w:sz w:val="23"/>
                <w:szCs w:val="23"/>
              </w:rPr>
            </w:pPr>
            <w:r w:rsidRPr="00DE7FC2">
              <w:rPr>
                <w:rFonts w:ascii="Times New Roman" w:hAnsi="Times New Roman" w:cs="Times New Roman"/>
                <w:b/>
                <w:sz w:val="23"/>
                <w:szCs w:val="23"/>
              </w:rPr>
              <w:t>Materials, Equipment, and/or Spaces Prohibited for ALL Minors</w:t>
            </w:r>
          </w:p>
        </w:tc>
        <w:tc>
          <w:tcPr>
            <w:tcW w:w="6210" w:type="dxa"/>
            <w:vAlign w:val="center"/>
          </w:tcPr>
          <w:p w14:paraId="1B2B52BF" w14:textId="77777777" w:rsidR="00AF39C5" w:rsidRPr="00DE7FC2" w:rsidRDefault="00AF39C5" w:rsidP="00DE7FC2">
            <w:pPr>
              <w:spacing w:line="259" w:lineRule="auto"/>
              <w:jc w:val="center"/>
              <w:rPr>
                <w:rFonts w:ascii="Times New Roman" w:hAnsi="Times New Roman" w:cs="Times New Roman"/>
                <w:b/>
                <w:sz w:val="23"/>
                <w:szCs w:val="23"/>
              </w:rPr>
            </w:pPr>
            <w:r w:rsidRPr="00DE7FC2">
              <w:rPr>
                <w:rFonts w:ascii="Times New Roman" w:hAnsi="Times New Roman" w:cs="Times New Roman"/>
                <w:b/>
                <w:sz w:val="23"/>
                <w:szCs w:val="23"/>
              </w:rPr>
              <w:t>Materials, Equipment, and/or Spaces Prohibited for Minors Under Age of 16 and Restricted for Minors Aged 16-18*</w:t>
            </w:r>
          </w:p>
        </w:tc>
      </w:tr>
      <w:tr w:rsidR="00AF39C5" w:rsidRPr="00DE7FC2" w14:paraId="2CFEB1C8" w14:textId="77777777" w:rsidTr="00DE7FC2">
        <w:tc>
          <w:tcPr>
            <w:tcW w:w="1435" w:type="dxa"/>
          </w:tcPr>
          <w:p w14:paraId="1A7CB55D" w14:textId="77777777" w:rsidR="00AF39C5" w:rsidRPr="00DE7FC2" w:rsidRDefault="00AF39C5" w:rsidP="00DE7FC2">
            <w:pPr>
              <w:spacing w:line="259" w:lineRule="auto"/>
              <w:rPr>
                <w:rFonts w:ascii="Times New Roman" w:hAnsi="Times New Roman" w:cs="Times New Roman"/>
                <w:b/>
                <w:sz w:val="23"/>
                <w:szCs w:val="23"/>
              </w:rPr>
            </w:pPr>
            <w:r w:rsidRPr="00DE7FC2">
              <w:rPr>
                <w:rFonts w:ascii="Times New Roman" w:hAnsi="Times New Roman" w:cs="Times New Roman"/>
                <w:b/>
                <w:sz w:val="23"/>
                <w:szCs w:val="23"/>
              </w:rPr>
              <w:t>Biological</w:t>
            </w:r>
          </w:p>
        </w:tc>
        <w:tc>
          <w:tcPr>
            <w:tcW w:w="6210" w:type="dxa"/>
          </w:tcPr>
          <w:p w14:paraId="3D4677D1" w14:textId="77777777" w:rsidR="00AF39C5" w:rsidRPr="00DE7FC2" w:rsidRDefault="00AF39C5" w:rsidP="00DE7FC2">
            <w:pPr>
              <w:numPr>
                <w:ilvl w:val="0"/>
                <w:numId w:val="28"/>
              </w:numPr>
              <w:spacing w:line="259" w:lineRule="auto"/>
              <w:ind w:left="250" w:hanging="250"/>
              <w:rPr>
                <w:rFonts w:ascii="Times New Roman" w:hAnsi="Times New Roman" w:cs="Times New Roman"/>
                <w:sz w:val="23"/>
                <w:szCs w:val="23"/>
              </w:rPr>
            </w:pPr>
            <w:r w:rsidRPr="00DE7FC2">
              <w:rPr>
                <w:rFonts w:ascii="Times New Roman" w:hAnsi="Times New Roman" w:cs="Times New Roman"/>
                <w:sz w:val="23"/>
                <w:szCs w:val="23"/>
              </w:rPr>
              <w:t>Risk Group 3 agents</w:t>
            </w:r>
          </w:p>
          <w:p w14:paraId="536F6E42" w14:textId="77777777" w:rsidR="00AF39C5" w:rsidRPr="00DE7FC2" w:rsidRDefault="00AF39C5" w:rsidP="00DE7FC2">
            <w:pPr>
              <w:numPr>
                <w:ilvl w:val="0"/>
                <w:numId w:val="28"/>
              </w:numPr>
              <w:spacing w:line="259" w:lineRule="auto"/>
              <w:ind w:left="250" w:hanging="250"/>
              <w:rPr>
                <w:rFonts w:ascii="Times New Roman" w:hAnsi="Times New Roman" w:cs="Times New Roman"/>
                <w:sz w:val="23"/>
                <w:szCs w:val="23"/>
              </w:rPr>
            </w:pPr>
            <w:r w:rsidRPr="00DE7FC2">
              <w:rPr>
                <w:rFonts w:ascii="Times New Roman" w:hAnsi="Times New Roman" w:cs="Times New Roman"/>
                <w:sz w:val="23"/>
                <w:szCs w:val="23"/>
              </w:rPr>
              <w:t>BSL-3/ABSL-3 facilities</w:t>
            </w:r>
          </w:p>
          <w:p w14:paraId="74E5B1F1" w14:textId="77777777" w:rsidR="00AF39C5" w:rsidRPr="00DE7FC2" w:rsidRDefault="00AF39C5" w:rsidP="00DE7FC2">
            <w:pPr>
              <w:numPr>
                <w:ilvl w:val="0"/>
                <w:numId w:val="28"/>
              </w:numPr>
              <w:spacing w:line="259" w:lineRule="auto"/>
              <w:ind w:left="250" w:hanging="250"/>
              <w:rPr>
                <w:rFonts w:ascii="Times New Roman" w:hAnsi="Times New Roman" w:cs="Times New Roman"/>
                <w:sz w:val="23"/>
                <w:szCs w:val="23"/>
              </w:rPr>
            </w:pPr>
            <w:r w:rsidRPr="00DE7FC2">
              <w:rPr>
                <w:rFonts w:ascii="Times New Roman" w:hAnsi="Times New Roman" w:cs="Times New Roman"/>
                <w:sz w:val="23"/>
                <w:szCs w:val="23"/>
              </w:rPr>
              <w:t>Toxins of biological origin with an LD</w:t>
            </w:r>
            <w:r w:rsidRPr="00DE7FC2">
              <w:rPr>
                <w:rFonts w:ascii="Times New Roman" w:hAnsi="Times New Roman" w:cs="Times New Roman"/>
                <w:sz w:val="23"/>
                <w:szCs w:val="23"/>
                <w:vertAlign w:val="subscript"/>
              </w:rPr>
              <w:t>50</w:t>
            </w:r>
            <w:r w:rsidRPr="00DE7FC2">
              <w:rPr>
                <w:rFonts w:ascii="Times New Roman" w:hAnsi="Times New Roman" w:cs="Times New Roman"/>
                <w:sz w:val="23"/>
                <w:szCs w:val="23"/>
              </w:rPr>
              <w:t xml:space="preserve"> of ≤ 100 </w:t>
            </w:r>
            <w:proofErr w:type="spellStart"/>
            <w:r w:rsidRPr="00DE7FC2">
              <w:rPr>
                <w:rFonts w:ascii="Times New Roman" w:hAnsi="Times New Roman" w:cs="Times New Roman"/>
                <w:sz w:val="23"/>
                <w:szCs w:val="23"/>
              </w:rPr>
              <w:t>μg</w:t>
            </w:r>
            <w:proofErr w:type="spellEnd"/>
            <w:r w:rsidRPr="00DE7FC2">
              <w:rPr>
                <w:rFonts w:ascii="Times New Roman" w:hAnsi="Times New Roman" w:cs="Times New Roman"/>
                <w:sz w:val="23"/>
                <w:szCs w:val="23"/>
              </w:rPr>
              <w:t>/kg body weight</w:t>
            </w:r>
          </w:p>
        </w:tc>
        <w:tc>
          <w:tcPr>
            <w:tcW w:w="6210" w:type="dxa"/>
          </w:tcPr>
          <w:p w14:paraId="2AE84DD5" w14:textId="09583175" w:rsidR="00AF39C5" w:rsidRPr="00DE7FC2" w:rsidRDefault="00AF39C5" w:rsidP="00DE7FC2">
            <w:pPr>
              <w:numPr>
                <w:ilvl w:val="0"/>
                <w:numId w:val="28"/>
              </w:numPr>
              <w:spacing w:line="259" w:lineRule="auto"/>
              <w:ind w:left="250" w:hanging="250"/>
              <w:rPr>
                <w:rFonts w:ascii="Times New Roman" w:hAnsi="Times New Roman" w:cs="Times New Roman"/>
                <w:sz w:val="23"/>
                <w:szCs w:val="23"/>
              </w:rPr>
            </w:pPr>
            <w:r w:rsidRPr="00DE7FC2">
              <w:rPr>
                <w:rFonts w:ascii="Times New Roman" w:hAnsi="Times New Roman" w:cs="Times New Roman"/>
                <w:sz w:val="23"/>
                <w:szCs w:val="23"/>
              </w:rPr>
              <w:t>Risk Group 2 agents, unless specifically approved by BSO*</w:t>
            </w:r>
          </w:p>
        </w:tc>
      </w:tr>
      <w:tr w:rsidR="00AF39C5" w:rsidRPr="00DE7FC2" w14:paraId="2713E3E4" w14:textId="77777777" w:rsidTr="00DE7FC2">
        <w:tc>
          <w:tcPr>
            <w:tcW w:w="1435" w:type="dxa"/>
          </w:tcPr>
          <w:p w14:paraId="41F7117C" w14:textId="77777777" w:rsidR="00AF39C5" w:rsidRPr="00DE7FC2" w:rsidRDefault="00AF39C5" w:rsidP="00DE7FC2">
            <w:pPr>
              <w:spacing w:line="259" w:lineRule="auto"/>
              <w:rPr>
                <w:rFonts w:ascii="Times New Roman" w:hAnsi="Times New Roman" w:cs="Times New Roman"/>
                <w:b/>
                <w:sz w:val="23"/>
                <w:szCs w:val="23"/>
              </w:rPr>
            </w:pPr>
            <w:r w:rsidRPr="00DE7FC2">
              <w:rPr>
                <w:rFonts w:ascii="Times New Roman" w:hAnsi="Times New Roman" w:cs="Times New Roman"/>
                <w:b/>
                <w:sz w:val="23"/>
                <w:szCs w:val="23"/>
              </w:rPr>
              <w:t>Chemical</w:t>
            </w:r>
          </w:p>
        </w:tc>
        <w:tc>
          <w:tcPr>
            <w:tcW w:w="6210" w:type="dxa"/>
          </w:tcPr>
          <w:p w14:paraId="3E6694FE" w14:textId="77777777" w:rsidR="00AF39C5" w:rsidRPr="00DE7FC2" w:rsidRDefault="00AF39C5" w:rsidP="00DE7FC2">
            <w:pPr>
              <w:numPr>
                <w:ilvl w:val="0"/>
                <w:numId w:val="29"/>
              </w:numPr>
              <w:spacing w:line="259" w:lineRule="auto"/>
              <w:ind w:left="250" w:hanging="250"/>
              <w:rPr>
                <w:rFonts w:ascii="Times New Roman" w:hAnsi="Times New Roman" w:cs="Times New Roman"/>
                <w:sz w:val="23"/>
                <w:szCs w:val="23"/>
              </w:rPr>
            </w:pPr>
            <w:r w:rsidRPr="00DE7FC2">
              <w:rPr>
                <w:rFonts w:ascii="Times New Roman" w:hAnsi="Times New Roman" w:cs="Times New Roman"/>
                <w:sz w:val="23"/>
                <w:szCs w:val="23"/>
              </w:rPr>
              <w:t>Controlled substances</w:t>
            </w:r>
          </w:p>
          <w:p w14:paraId="006EB10A" w14:textId="77777777" w:rsidR="00AF39C5" w:rsidRPr="00DE7FC2" w:rsidRDefault="00AF39C5" w:rsidP="00DE7FC2">
            <w:pPr>
              <w:numPr>
                <w:ilvl w:val="0"/>
                <w:numId w:val="29"/>
              </w:numPr>
              <w:spacing w:line="259" w:lineRule="auto"/>
              <w:ind w:left="250" w:hanging="250"/>
              <w:rPr>
                <w:rFonts w:ascii="Times New Roman" w:hAnsi="Times New Roman" w:cs="Times New Roman"/>
                <w:sz w:val="23"/>
                <w:szCs w:val="23"/>
              </w:rPr>
            </w:pPr>
            <w:r w:rsidRPr="00DE7FC2">
              <w:rPr>
                <w:rFonts w:ascii="Times New Roman" w:hAnsi="Times New Roman" w:cs="Times New Roman"/>
                <w:sz w:val="23"/>
                <w:szCs w:val="23"/>
              </w:rPr>
              <w:t>Explosives</w:t>
            </w:r>
          </w:p>
          <w:p w14:paraId="318A7B2A" w14:textId="77777777" w:rsidR="00AF39C5" w:rsidRPr="00DE7FC2" w:rsidRDefault="00AF39C5" w:rsidP="00DE7FC2">
            <w:pPr>
              <w:numPr>
                <w:ilvl w:val="0"/>
                <w:numId w:val="29"/>
              </w:numPr>
              <w:spacing w:line="259" w:lineRule="auto"/>
              <w:ind w:left="250" w:hanging="250"/>
              <w:rPr>
                <w:rFonts w:ascii="Times New Roman" w:hAnsi="Times New Roman" w:cs="Times New Roman"/>
                <w:sz w:val="23"/>
                <w:szCs w:val="23"/>
              </w:rPr>
            </w:pPr>
            <w:r w:rsidRPr="00DE7FC2">
              <w:rPr>
                <w:rFonts w:ascii="Times New Roman" w:hAnsi="Times New Roman" w:cs="Times New Roman"/>
                <w:sz w:val="23"/>
                <w:szCs w:val="23"/>
              </w:rPr>
              <w:t>Pyrophoric materials</w:t>
            </w:r>
          </w:p>
          <w:p w14:paraId="28A3CC62" w14:textId="77777777" w:rsidR="00AF39C5" w:rsidRPr="00DE7FC2" w:rsidRDefault="00AF39C5" w:rsidP="00DE7FC2">
            <w:pPr>
              <w:numPr>
                <w:ilvl w:val="0"/>
                <w:numId w:val="29"/>
              </w:numPr>
              <w:spacing w:line="259" w:lineRule="auto"/>
              <w:ind w:left="250" w:hanging="250"/>
              <w:rPr>
                <w:rFonts w:ascii="Times New Roman" w:hAnsi="Times New Roman" w:cs="Times New Roman"/>
                <w:sz w:val="23"/>
                <w:szCs w:val="23"/>
              </w:rPr>
            </w:pPr>
            <w:r w:rsidRPr="00DE7FC2">
              <w:rPr>
                <w:rFonts w:ascii="Times New Roman" w:hAnsi="Times New Roman" w:cs="Times New Roman"/>
                <w:sz w:val="23"/>
                <w:szCs w:val="23"/>
              </w:rPr>
              <w:t>Hydrofluoric acid</w:t>
            </w:r>
          </w:p>
          <w:p w14:paraId="2EE48D94" w14:textId="77777777" w:rsidR="00AF39C5" w:rsidRPr="00DE7FC2" w:rsidRDefault="00AF39C5" w:rsidP="00DE7FC2">
            <w:pPr>
              <w:numPr>
                <w:ilvl w:val="0"/>
                <w:numId w:val="29"/>
              </w:numPr>
              <w:spacing w:line="259" w:lineRule="auto"/>
              <w:ind w:left="250" w:hanging="250"/>
              <w:rPr>
                <w:rFonts w:ascii="Times New Roman" w:hAnsi="Times New Roman" w:cs="Times New Roman"/>
                <w:sz w:val="23"/>
                <w:szCs w:val="23"/>
              </w:rPr>
            </w:pPr>
            <w:r w:rsidRPr="00DE7FC2">
              <w:rPr>
                <w:rFonts w:ascii="Times New Roman" w:hAnsi="Times New Roman" w:cs="Times New Roman"/>
                <w:sz w:val="23"/>
                <w:szCs w:val="23"/>
              </w:rPr>
              <w:t>High acute toxicity materials (oral LD</w:t>
            </w:r>
            <w:r w:rsidRPr="00DE7FC2">
              <w:rPr>
                <w:rFonts w:ascii="Times New Roman" w:hAnsi="Times New Roman" w:cs="Times New Roman"/>
                <w:sz w:val="23"/>
                <w:szCs w:val="23"/>
                <w:vertAlign w:val="subscript"/>
              </w:rPr>
              <w:t>50</w:t>
            </w:r>
            <w:r w:rsidRPr="00DE7FC2">
              <w:rPr>
                <w:rFonts w:ascii="Times New Roman" w:hAnsi="Times New Roman" w:cs="Times New Roman"/>
                <w:sz w:val="23"/>
                <w:szCs w:val="23"/>
              </w:rPr>
              <w:t xml:space="preserve"> ≤ 50 mg/kg, dermal LD</w:t>
            </w:r>
            <w:r w:rsidRPr="00DE7FC2">
              <w:rPr>
                <w:rFonts w:ascii="Times New Roman" w:hAnsi="Times New Roman" w:cs="Times New Roman"/>
                <w:sz w:val="23"/>
                <w:szCs w:val="23"/>
                <w:vertAlign w:val="subscript"/>
              </w:rPr>
              <w:t xml:space="preserve">50 </w:t>
            </w:r>
            <w:r w:rsidRPr="00DE7FC2">
              <w:rPr>
                <w:rFonts w:ascii="Times New Roman" w:hAnsi="Times New Roman" w:cs="Times New Roman"/>
                <w:sz w:val="23"/>
                <w:szCs w:val="23"/>
              </w:rPr>
              <w:t>≤ 200 mg/kg, gases with LC</w:t>
            </w:r>
            <w:r w:rsidRPr="00DE7FC2">
              <w:rPr>
                <w:rFonts w:ascii="Times New Roman" w:hAnsi="Times New Roman" w:cs="Times New Roman"/>
                <w:sz w:val="23"/>
                <w:szCs w:val="23"/>
                <w:vertAlign w:val="subscript"/>
              </w:rPr>
              <w:t>50</w:t>
            </w:r>
            <w:r w:rsidRPr="00DE7FC2">
              <w:rPr>
                <w:rFonts w:ascii="Times New Roman" w:hAnsi="Times New Roman" w:cs="Times New Roman"/>
                <w:sz w:val="23"/>
                <w:szCs w:val="23"/>
              </w:rPr>
              <w:t xml:space="preserve"> ≤ 500 ppm; GHS categories 1 and 2, GHS hazard statements H300/H310/H330 fatal if swallowed/in contact with skin/if inhaled)</w:t>
            </w:r>
          </w:p>
        </w:tc>
        <w:tc>
          <w:tcPr>
            <w:tcW w:w="6210" w:type="dxa"/>
          </w:tcPr>
          <w:p w14:paraId="11182AEB" w14:textId="77777777" w:rsidR="00AF39C5" w:rsidRPr="00DE7FC2" w:rsidRDefault="00AF39C5" w:rsidP="00DE7FC2">
            <w:pPr>
              <w:numPr>
                <w:ilvl w:val="0"/>
                <w:numId w:val="29"/>
              </w:numPr>
              <w:spacing w:line="259" w:lineRule="auto"/>
              <w:ind w:left="250" w:hanging="250"/>
              <w:rPr>
                <w:rFonts w:ascii="Times New Roman" w:hAnsi="Times New Roman" w:cs="Times New Roman"/>
                <w:sz w:val="23"/>
                <w:szCs w:val="23"/>
              </w:rPr>
            </w:pPr>
            <w:r w:rsidRPr="00DE7FC2">
              <w:rPr>
                <w:rFonts w:ascii="Times New Roman" w:hAnsi="Times New Roman" w:cs="Times New Roman"/>
                <w:sz w:val="23"/>
                <w:szCs w:val="23"/>
              </w:rPr>
              <w:t>Known carcinogens (NTP “known to be carcinogens,” IARC Group 1, GHS categories 1A, 1B)*</w:t>
            </w:r>
          </w:p>
          <w:p w14:paraId="6733216B" w14:textId="77777777" w:rsidR="00AF39C5" w:rsidRPr="00DE7FC2" w:rsidRDefault="00AF39C5" w:rsidP="00DE7FC2">
            <w:pPr>
              <w:numPr>
                <w:ilvl w:val="0"/>
                <w:numId w:val="29"/>
              </w:numPr>
              <w:spacing w:line="259" w:lineRule="auto"/>
              <w:ind w:left="250" w:hanging="250"/>
              <w:rPr>
                <w:rFonts w:ascii="Times New Roman" w:hAnsi="Times New Roman" w:cs="Times New Roman"/>
                <w:sz w:val="23"/>
                <w:szCs w:val="23"/>
              </w:rPr>
            </w:pPr>
            <w:r w:rsidRPr="00DE7FC2">
              <w:rPr>
                <w:rFonts w:ascii="Times New Roman" w:hAnsi="Times New Roman" w:cs="Times New Roman"/>
                <w:sz w:val="23"/>
                <w:szCs w:val="23"/>
              </w:rPr>
              <w:t>Known reproductive toxins, teratogens, mutagens (GHS categories 1A, 1B)*</w:t>
            </w:r>
          </w:p>
          <w:p w14:paraId="2F95F63A" w14:textId="3AF45CF7" w:rsidR="00AF39C5" w:rsidRPr="00DE7FC2" w:rsidRDefault="00AF39C5" w:rsidP="00DE7FC2">
            <w:pPr>
              <w:numPr>
                <w:ilvl w:val="0"/>
                <w:numId w:val="29"/>
              </w:numPr>
              <w:spacing w:line="259" w:lineRule="auto"/>
              <w:ind w:left="250" w:hanging="250"/>
              <w:rPr>
                <w:rFonts w:ascii="Times New Roman" w:hAnsi="Times New Roman" w:cs="Times New Roman"/>
                <w:sz w:val="23"/>
                <w:szCs w:val="23"/>
              </w:rPr>
            </w:pPr>
            <w:r w:rsidRPr="00DE7FC2">
              <w:rPr>
                <w:rFonts w:ascii="Times New Roman" w:hAnsi="Times New Roman" w:cs="Times New Roman"/>
                <w:sz w:val="23"/>
                <w:szCs w:val="23"/>
              </w:rPr>
              <w:t>Strong corrosives (acid with pH ≤ 2, base with pH ≥ 12; GHS category 1A, 1B, 1C for skin/eye corrosion)*</w:t>
            </w:r>
          </w:p>
        </w:tc>
      </w:tr>
      <w:tr w:rsidR="00AF39C5" w:rsidRPr="00DE7FC2" w14:paraId="53D7EDAC" w14:textId="77777777" w:rsidTr="00DE7FC2">
        <w:tc>
          <w:tcPr>
            <w:tcW w:w="1435" w:type="dxa"/>
          </w:tcPr>
          <w:p w14:paraId="411A6CFB" w14:textId="77777777" w:rsidR="00AF39C5" w:rsidRPr="00DE7FC2" w:rsidRDefault="00AF39C5" w:rsidP="00DE7FC2">
            <w:pPr>
              <w:spacing w:line="259" w:lineRule="auto"/>
              <w:rPr>
                <w:rFonts w:ascii="Times New Roman" w:hAnsi="Times New Roman" w:cs="Times New Roman"/>
                <w:b/>
                <w:sz w:val="23"/>
                <w:szCs w:val="23"/>
              </w:rPr>
            </w:pPr>
            <w:r w:rsidRPr="00DE7FC2">
              <w:rPr>
                <w:rFonts w:ascii="Times New Roman" w:hAnsi="Times New Roman" w:cs="Times New Roman"/>
                <w:b/>
                <w:sz w:val="23"/>
                <w:szCs w:val="23"/>
              </w:rPr>
              <w:t>Radiation</w:t>
            </w:r>
          </w:p>
        </w:tc>
        <w:tc>
          <w:tcPr>
            <w:tcW w:w="6210" w:type="dxa"/>
          </w:tcPr>
          <w:p w14:paraId="2DD3BA24" w14:textId="77777777" w:rsidR="00AF39C5" w:rsidRPr="00DE7FC2" w:rsidRDefault="00AF39C5" w:rsidP="00DE7FC2">
            <w:pPr>
              <w:numPr>
                <w:ilvl w:val="0"/>
                <w:numId w:val="30"/>
              </w:numPr>
              <w:spacing w:line="259" w:lineRule="auto"/>
              <w:ind w:left="250" w:hanging="250"/>
              <w:rPr>
                <w:rFonts w:ascii="Times New Roman" w:hAnsi="Times New Roman" w:cs="Times New Roman"/>
                <w:sz w:val="23"/>
                <w:szCs w:val="23"/>
              </w:rPr>
            </w:pPr>
            <w:r w:rsidRPr="00DE7FC2">
              <w:rPr>
                <w:rFonts w:ascii="Times New Roman" w:hAnsi="Times New Roman" w:cs="Times New Roman"/>
                <w:sz w:val="23"/>
                <w:szCs w:val="23"/>
              </w:rPr>
              <w:t>Radioactive iodine</w:t>
            </w:r>
          </w:p>
          <w:p w14:paraId="2E98D291" w14:textId="77777777" w:rsidR="00AF39C5" w:rsidRPr="00DE7FC2" w:rsidRDefault="00AF39C5" w:rsidP="00DE7FC2">
            <w:pPr>
              <w:numPr>
                <w:ilvl w:val="0"/>
                <w:numId w:val="30"/>
              </w:numPr>
              <w:spacing w:line="259" w:lineRule="auto"/>
              <w:ind w:left="250" w:hanging="250"/>
              <w:rPr>
                <w:rFonts w:ascii="Times New Roman" w:hAnsi="Times New Roman" w:cs="Times New Roman"/>
                <w:sz w:val="23"/>
                <w:szCs w:val="23"/>
              </w:rPr>
            </w:pPr>
            <w:r w:rsidRPr="00DE7FC2">
              <w:rPr>
                <w:rFonts w:ascii="Times New Roman" w:hAnsi="Times New Roman" w:cs="Times New Roman"/>
                <w:sz w:val="23"/>
                <w:szCs w:val="23"/>
              </w:rPr>
              <w:t>Irradiator</w:t>
            </w:r>
          </w:p>
          <w:p w14:paraId="37D2D633" w14:textId="77777777" w:rsidR="00AF39C5" w:rsidRPr="00DE7FC2" w:rsidRDefault="00AF39C5" w:rsidP="00DE7FC2">
            <w:pPr>
              <w:numPr>
                <w:ilvl w:val="0"/>
                <w:numId w:val="30"/>
              </w:numPr>
              <w:spacing w:line="259" w:lineRule="auto"/>
              <w:ind w:left="250" w:hanging="250"/>
              <w:rPr>
                <w:rFonts w:ascii="Times New Roman" w:hAnsi="Times New Roman" w:cs="Times New Roman"/>
                <w:sz w:val="23"/>
                <w:szCs w:val="23"/>
              </w:rPr>
            </w:pPr>
            <w:r w:rsidRPr="00DE7FC2">
              <w:rPr>
                <w:rFonts w:ascii="Times New Roman" w:hAnsi="Times New Roman" w:cs="Times New Roman"/>
                <w:sz w:val="23"/>
                <w:szCs w:val="23"/>
              </w:rPr>
              <w:t>Any work with radioactive materials or radiation producing equipment in which the dose may exceed the general public dose limit.</w:t>
            </w:r>
          </w:p>
        </w:tc>
        <w:tc>
          <w:tcPr>
            <w:tcW w:w="6210" w:type="dxa"/>
          </w:tcPr>
          <w:p w14:paraId="2E702DFB" w14:textId="1D54411A" w:rsidR="00AF39C5" w:rsidRPr="00DE7FC2" w:rsidRDefault="00AF39C5" w:rsidP="00DE7FC2">
            <w:pPr>
              <w:numPr>
                <w:ilvl w:val="0"/>
                <w:numId w:val="30"/>
              </w:numPr>
              <w:spacing w:line="259" w:lineRule="auto"/>
              <w:ind w:left="250" w:hanging="250"/>
              <w:rPr>
                <w:rFonts w:ascii="Times New Roman" w:hAnsi="Times New Roman" w:cs="Times New Roman"/>
                <w:sz w:val="23"/>
                <w:szCs w:val="23"/>
              </w:rPr>
            </w:pPr>
            <w:r w:rsidRPr="00DE7FC2">
              <w:rPr>
                <w:rFonts w:ascii="Times New Roman" w:hAnsi="Times New Roman" w:cs="Times New Roman"/>
                <w:sz w:val="23"/>
                <w:szCs w:val="23"/>
              </w:rPr>
              <w:t>All radioactive materials and radiation producing equipment</w:t>
            </w:r>
            <w:r w:rsidR="00162E27">
              <w:rPr>
                <w:rFonts w:ascii="Times New Roman" w:hAnsi="Times New Roman" w:cs="Times New Roman"/>
                <w:sz w:val="23"/>
                <w:szCs w:val="23"/>
              </w:rPr>
              <w:t>*</w:t>
            </w:r>
          </w:p>
          <w:p w14:paraId="20A0CCA7" w14:textId="7E6FC798" w:rsidR="00AF39C5" w:rsidRPr="00DE7FC2" w:rsidRDefault="00AF39C5" w:rsidP="00DE7FC2">
            <w:pPr>
              <w:numPr>
                <w:ilvl w:val="0"/>
                <w:numId w:val="30"/>
              </w:numPr>
              <w:spacing w:line="259" w:lineRule="auto"/>
              <w:ind w:left="250" w:hanging="250"/>
              <w:rPr>
                <w:rFonts w:ascii="Times New Roman" w:hAnsi="Times New Roman" w:cs="Times New Roman"/>
                <w:sz w:val="23"/>
                <w:szCs w:val="23"/>
              </w:rPr>
            </w:pPr>
            <w:r w:rsidRPr="00DE7FC2">
              <w:rPr>
                <w:rFonts w:ascii="Times New Roman" w:hAnsi="Times New Roman" w:cs="Times New Roman"/>
                <w:sz w:val="23"/>
                <w:szCs w:val="23"/>
              </w:rPr>
              <w:t>Open beam Class 3B and Class 4 lasers*</w:t>
            </w:r>
          </w:p>
        </w:tc>
      </w:tr>
      <w:tr w:rsidR="00AF39C5" w:rsidRPr="00DE7FC2" w14:paraId="1546865D" w14:textId="77777777" w:rsidTr="00DE7FC2">
        <w:tc>
          <w:tcPr>
            <w:tcW w:w="1435" w:type="dxa"/>
          </w:tcPr>
          <w:p w14:paraId="1DC5B282" w14:textId="77777777" w:rsidR="00AF39C5" w:rsidRPr="00DE7FC2" w:rsidRDefault="00AF39C5" w:rsidP="00DE7FC2">
            <w:pPr>
              <w:spacing w:line="259" w:lineRule="auto"/>
              <w:rPr>
                <w:rFonts w:ascii="Times New Roman" w:hAnsi="Times New Roman" w:cs="Times New Roman"/>
                <w:b/>
                <w:sz w:val="23"/>
                <w:szCs w:val="23"/>
              </w:rPr>
            </w:pPr>
            <w:r w:rsidRPr="00DE7FC2">
              <w:rPr>
                <w:rFonts w:ascii="Times New Roman" w:hAnsi="Times New Roman" w:cs="Times New Roman"/>
                <w:b/>
                <w:sz w:val="23"/>
                <w:szCs w:val="23"/>
              </w:rPr>
              <w:t>Physical Hazards</w:t>
            </w:r>
          </w:p>
        </w:tc>
        <w:tc>
          <w:tcPr>
            <w:tcW w:w="6210" w:type="dxa"/>
          </w:tcPr>
          <w:p w14:paraId="445DE298" w14:textId="77777777" w:rsidR="00AF39C5" w:rsidRPr="00DE7FC2" w:rsidRDefault="00AF39C5" w:rsidP="00DE7FC2">
            <w:pPr>
              <w:numPr>
                <w:ilvl w:val="0"/>
                <w:numId w:val="31"/>
              </w:numPr>
              <w:spacing w:line="259" w:lineRule="auto"/>
              <w:ind w:left="250" w:hanging="250"/>
              <w:rPr>
                <w:rFonts w:ascii="Times New Roman" w:hAnsi="Times New Roman" w:cs="Times New Roman"/>
                <w:sz w:val="23"/>
                <w:szCs w:val="23"/>
              </w:rPr>
            </w:pPr>
            <w:r w:rsidRPr="00DE7FC2">
              <w:rPr>
                <w:rFonts w:ascii="Times New Roman" w:hAnsi="Times New Roman" w:cs="Times New Roman"/>
                <w:sz w:val="23"/>
                <w:szCs w:val="23"/>
              </w:rPr>
              <w:t>Equipment with electrical or high voltage hazards (i.e. electrophoresis, power supplies, capacitor banks)</w:t>
            </w:r>
          </w:p>
          <w:p w14:paraId="60CAB1FD" w14:textId="77777777" w:rsidR="00AF39C5" w:rsidRPr="00DE7FC2" w:rsidRDefault="00AF39C5" w:rsidP="00DE7FC2">
            <w:pPr>
              <w:numPr>
                <w:ilvl w:val="0"/>
                <w:numId w:val="31"/>
              </w:numPr>
              <w:spacing w:line="259" w:lineRule="auto"/>
              <w:ind w:left="250" w:hanging="250"/>
              <w:rPr>
                <w:rFonts w:ascii="Times New Roman" w:hAnsi="Times New Roman" w:cs="Times New Roman"/>
                <w:sz w:val="23"/>
                <w:szCs w:val="23"/>
              </w:rPr>
            </w:pPr>
            <w:r w:rsidRPr="00DE7FC2">
              <w:rPr>
                <w:rFonts w:ascii="Times New Roman" w:hAnsi="Times New Roman" w:cs="Times New Roman"/>
                <w:sz w:val="23"/>
                <w:szCs w:val="23"/>
              </w:rPr>
              <w:t>Federal and/or NY state law prohibits minors under 18 from operating specific machinery, including: circular saws; band saws; guillotine shears; power-driven woodworking, metal-forming, metal-punching and metal-shearing machinery; and power-driven hoisting apparatus</w:t>
            </w:r>
          </w:p>
        </w:tc>
        <w:tc>
          <w:tcPr>
            <w:tcW w:w="6210" w:type="dxa"/>
          </w:tcPr>
          <w:p w14:paraId="5B1B2FC5" w14:textId="67BC8690" w:rsidR="00AF39C5" w:rsidRPr="00DE7FC2" w:rsidRDefault="00AF39C5" w:rsidP="00DE7FC2">
            <w:pPr>
              <w:numPr>
                <w:ilvl w:val="0"/>
                <w:numId w:val="31"/>
              </w:numPr>
              <w:spacing w:line="259" w:lineRule="auto"/>
              <w:ind w:left="250" w:hanging="250"/>
              <w:rPr>
                <w:rFonts w:ascii="Times New Roman" w:hAnsi="Times New Roman" w:cs="Times New Roman"/>
                <w:sz w:val="23"/>
                <w:szCs w:val="23"/>
              </w:rPr>
            </w:pPr>
            <w:r w:rsidRPr="00DE7FC2">
              <w:rPr>
                <w:rFonts w:ascii="Times New Roman" w:hAnsi="Times New Roman" w:cs="Times New Roman"/>
                <w:sz w:val="23"/>
                <w:szCs w:val="23"/>
              </w:rPr>
              <w:t>Power-driven tools and machinery (NY state law prohibits minors under the age of 16 from operating or assisting in operating any machinery unless all moving parts other than keys, levers, or handles are so guarded as to prevent any part of the person or clothing for the operator from touching them)</w:t>
            </w:r>
            <w:r w:rsidR="00162E27">
              <w:rPr>
                <w:rFonts w:ascii="Times New Roman" w:hAnsi="Times New Roman" w:cs="Times New Roman"/>
                <w:sz w:val="23"/>
                <w:szCs w:val="23"/>
              </w:rPr>
              <w:t>*</w:t>
            </w:r>
          </w:p>
          <w:p w14:paraId="3D0471E2" w14:textId="77777777" w:rsidR="00AF39C5" w:rsidRPr="00DE7FC2" w:rsidRDefault="00AF39C5" w:rsidP="00DE7FC2">
            <w:pPr>
              <w:numPr>
                <w:ilvl w:val="0"/>
                <w:numId w:val="31"/>
              </w:numPr>
              <w:spacing w:line="259" w:lineRule="auto"/>
              <w:ind w:left="250" w:hanging="250"/>
              <w:rPr>
                <w:rFonts w:ascii="Times New Roman" w:hAnsi="Times New Roman" w:cs="Times New Roman"/>
                <w:sz w:val="23"/>
                <w:szCs w:val="23"/>
              </w:rPr>
            </w:pPr>
            <w:r w:rsidRPr="00DE7FC2">
              <w:rPr>
                <w:rFonts w:ascii="Times New Roman" w:hAnsi="Times New Roman" w:cs="Times New Roman"/>
                <w:sz w:val="23"/>
                <w:szCs w:val="23"/>
              </w:rPr>
              <w:t>Cryogenic liquids*</w:t>
            </w:r>
          </w:p>
          <w:p w14:paraId="6E91B25B" w14:textId="77777777" w:rsidR="00AF39C5" w:rsidRPr="00DE7FC2" w:rsidRDefault="00AF39C5" w:rsidP="00DE7FC2">
            <w:pPr>
              <w:numPr>
                <w:ilvl w:val="0"/>
                <w:numId w:val="31"/>
              </w:numPr>
              <w:spacing w:line="259" w:lineRule="auto"/>
              <w:ind w:left="250" w:hanging="250"/>
              <w:rPr>
                <w:rFonts w:ascii="Times New Roman" w:hAnsi="Times New Roman" w:cs="Times New Roman"/>
                <w:sz w:val="23"/>
                <w:szCs w:val="23"/>
              </w:rPr>
            </w:pPr>
            <w:r w:rsidRPr="00DE7FC2">
              <w:rPr>
                <w:rFonts w:ascii="Times New Roman" w:hAnsi="Times New Roman" w:cs="Times New Roman"/>
                <w:sz w:val="23"/>
                <w:szCs w:val="23"/>
              </w:rPr>
              <w:t>Pressurized gas cylinders*</w:t>
            </w:r>
          </w:p>
          <w:p w14:paraId="6674434B" w14:textId="77777777" w:rsidR="00AF39C5" w:rsidRPr="00DE7FC2" w:rsidRDefault="00AF39C5" w:rsidP="00DE7FC2">
            <w:pPr>
              <w:numPr>
                <w:ilvl w:val="0"/>
                <w:numId w:val="31"/>
              </w:numPr>
              <w:spacing w:line="259" w:lineRule="auto"/>
              <w:ind w:left="250" w:hanging="250"/>
              <w:rPr>
                <w:rFonts w:ascii="Times New Roman" w:hAnsi="Times New Roman" w:cs="Times New Roman"/>
                <w:sz w:val="23"/>
                <w:szCs w:val="23"/>
              </w:rPr>
            </w:pPr>
            <w:r w:rsidRPr="00DE7FC2">
              <w:rPr>
                <w:rFonts w:ascii="Times New Roman" w:hAnsi="Times New Roman" w:cs="Times New Roman"/>
                <w:sz w:val="23"/>
                <w:szCs w:val="23"/>
              </w:rPr>
              <w:t>Hoists and cranes*</w:t>
            </w:r>
          </w:p>
        </w:tc>
      </w:tr>
    </w:tbl>
    <w:p w14:paraId="04965042" w14:textId="77777777" w:rsidR="00DE7FC2" w:rsidRPr="00DE7FC2" w:rsidRDefault="00DE7FC2" w:rsidP="00DE7FC2">
      <w:pPr>
        <w:spacing w:after="0"/>
      </w:pPr>
    </w:p>
    <w:p w14:paraId="46B9B111" w14:textId="7B329428" w:rsidR="00AF39C5" w:rsidRPr="00DE7FC2" w:rsidRDefault="00AF39C5" w:rsidP="00162E27">
      <w:pPr>
        <w:spacing w:after="0"/>
        <w:rPr>
          <w:sz w:val="28"/>
          <w:u w:val="single"/>
        </w:rPr>
      </w:pPr>
      <w:r w:rsidRPr="00DE7FC2">
        <w:t>* Minors aged 16-18 must have proper training, supervision, and personal protective equipment to work with these materials or equipment. Contact EHS for review and approval.</w:t>
      </w:r>
    </w:p>
    <w:p w14:paraId="715D1261" w14:textId="77777777" w:rsidR="00AF39C5" w:rsidRDefault="00AF39C5" w:rsidP="00AF0DC5">
      <w:pPr>
        <w:rPr>
          <w:u w:val="single"/>
        </w:rPr>
        <w:sectPr w:rsidR="00AF39C5" w:rsidSect="00AF39C5">
          <w:pgSz w:w="15840" w:h="12240" w:orient="landscape"/>
          <w:pgMar w:top="1440" w:right="1440" w:bottom="1440" w:left="1440" w:header="720" w:footer="720" w:gutter="0"/>
          <w:cols w:space="720"/>
          <w:docGrid w:linePitch="360"/>
        </w:sectPr>
      </w:pPr>
    </w:p>
    <w:p w14:paraId="67CBF05C" w14:textId="43DC5584" w:rsidR="00F0775A" w:rsidRPr="00CD458C" w:rsidRDefault="00825929" w:rsidP="00A70BC5">
      <w:pPr>
        <w:spacing w:before="240" w:after="240"/>
        <w:rPr>
          <w:b/>
          <w:bCs/>
          <w:u w:val="single"/>
        </w:rPr>
      </w:pPr>
      <w:r w:rsidRPr="00CD458C">
        <w:rPr>
          <w:u w:val="single"/>
        </w:rPr>
        <w:lastRenderedPageBreak/>
        <w:t> </w:t>
      </w:r>
      <w:r w:rsidR="00F0775A" w:rsidRPr="00CD458C">
        <w:rPr>
          <w:b/>
          <w:bCs/>
          <w:u w:val="single"/>
        </w:rPr>
        <w:t>RELATED RESOURCES</w:t>
      </w:r>
    </w:p>
    <w:p w14:paraId="54D25425" w14:textId="77777777" w:rsidR="000F19DF" w:rsidRPr="00DE7FC2" w:rsidRDefault="000F19DF" w:rsidP="000F19DF">
      <w:pPr>
        <w:pStyle w:val="ListParagraph"/>
        <w:numPr>
          <w:ilvl w:val="0"/>
          <w:numId w:val="32"/>
        </w:numPr>
        <w:spacing w:after="0"/>
        <w:rPr>
          <w:bCs/>
        </w:rPr>
      </w:pPr>
      <w:r w:rsidRPr="00DE7FC2">
        <w:rPr>
          <w:bCs/>
        </w:rPr>
        <w:t>Cornell Pol</w:t>
      </w:r>
      <w:r>
        <w:rPr>
          <w:bCs/>
        </w:rPr>
        <w:t xml:space="preserve">icy, 6.5 University Volunteers </w:t>
      </w:r>
      <w:hyperlink r:id="rId14" w:history="1">
        <w:r w:rsidRPr="00DE7FC2">
          <w:rPr>
            <w:rStyle w:val="Hyperlink"/>
            <w:bCs/>
          </w:rPr>
          <w:t>http://www.dfa.cornell.edu/treasurer/policyoffice/policies/volumes/humanresources/volunteers.cfm</w:t>
        </w:r>
      </w:hyperlink>
    </w:p>
    <w:p w14:paraId="15D0EFA9" w14:textId="705F5BEC" w:rsidR="00F0775A" w:rsidRPr="00DE7FC2" w:rsidRDefault="00F0775A" w:rsidP="000F19DF">
      <w:pPr>
        <w:pStyle w:val="ListParagraph"/>
        <w:numPr>
          <w:ilvl w:val="0"/>
          <w:numId w:val="32"/>
        </w:numPr>
        <w:spacing w:after="0"/>
        <w:rPr>
          <w:bCs/>
        </w:rPr>
      </w:pPr>
      <w:r w:rsidRPr="00DE7FC2">
        <w:rPr>
          <w:bCs/>
        </w:rPr>
        <w:t xml:space="preserve">Cornell Policy, 8.6 Environment, Health and Safety </w:t>
      </w:r>
      <w:hyperlink r:id="rId15" w:history="1">
        <w:r w:rsidRPr="00DE7FC2">
          <w:rPr>
            <w:rStyle w:val="Hyperlink"/>
            <w:bCs/>
          </w:rPr>
          <w:t>https://www.dfa.cornell.edu/sites/default/files/policy/vol8_6_0.pdf</w:t>
        </w:r>
      </w:hyperlink>
      <w:r w:rsidRPr="00DE7FC2">
        <w:rPr>
          <w:bCs/>
        </w:rPr>
        <w:t>.</w:t>
      </w:r>
    </w:p>
    <w:p w14:paraId="52FEA80A" w14:textId="22223890" w:rsidR="00F0775A" w:rsidRPr="00DE7FC2" w:rsidRDefault="00F0775A" w:rsidP="00DE7FC2">
      <w:pPr>
        <w:pStyle w:val="ListParagraph"/>
        <w:numPr>
          <w:ilvl w:val="0"/>
          <w:numId w:val="32"/>
        </w:numPr>
        <w:spacing w:after="0"/>
        <w:rPr>
          <w:bCs/>
        </w:rPr>
      </w:pPr>
      <w:r w:rsidRPr="00DE7FC2">
        <w:rPr>
          <w:bCs/>
        </w:rPr>
        <w:t>Human Resources (HR) Policy 6.6.12 Special Employment Circumstances – Empl</w:t>
      </w:r>
      <w:r w:rsidR="000F19DF">
        <w:rPr>
          <w:bCs/>
        </w:rPr>
        <w:t xml:space="preserve">oyment of Minors </w:t>
      </w:r>
      <w:hyperlink r:id="rId16" w:history="1">
        <w:r w:rsidRPr="00DE7FC2">
          <w:rPr>
            <w:rStyle w:val="Hyperlink"/>
            <w:bCs/>
          </w:rPr>
          <w:t>https://www.hr.cornell.edu/policies/nonacademic/special_circumstances.html</w:t>
        </w:r>
      </w:hyperlink>
    </w:p>
    <w:p w14:paraId="50D49C60" w14:textId="7E5B2E7B" w:rsidR="00A70BC5" w:rsidRPr="00DE7FC2" w:rsidRDefault="00A70BC5" w:rsidP="00DE7FC2">
      <w:pPr>
        <w:pStyle w:val="ListParagraph"/>
        <w:numPr>
          <w:ilvl w:val="0"/>
          <w:numId w:val="32"/>
        </w:numPr>
        <w:spacing w:after="0"/>
        <w:rPr>
          <w:bCs/>
        </w:rPr>
      </w:pPr>
      <w:r w:rsidRPr="00DE7FC2">
        <w:rPr>
          <w:bCs/>
        </w:rPr>
        <w:t>Fair Labor Standards Act</w:t>
      </w:r>
    </w:p>
    <w:p w14:paraId="63356428" w14:textId="6F6941B1" w:rsidR="00A70BC5" w:rsidRPr="00DE7FC2" w:rsidRDefault="006506BB" w:rsidP="00DE7FC2">
      <w:pPr>
        <w:pStyle w:val="ListParagraph"/>
        <w:numPr>
          <w:ilvl w:val="0"/>
          <w:numId w:val="32"/>
        </w:numPr>
        <w:spacing w:after="0"/>
        <w:rPr>
          <w:bCs/>
        </w:rPr>
      </w:pPr>
      <w:hyperlink r:id="rId17" w:history="1">
        <w:r w:rsidR="00A70BC5" w:rsidRPr="00DE7FC2">
          <w:rPr>
            <w:rStyle w:val="Hyperlink"/>
            <w:bCs/>
          </w:rPr>
          <w:t>https://www.dol.gov/whd/regs/compliance/hrg.htm</w:t>
        </w:r>
      </w:hyperlink>
      <w:r w:rsidR="00A70BC5" w:rsidRPr="00DE7FC2">
        <w:rPr>
          <w:bCs/>
        </w:rPr>
        <w:t xml:space="preserve"> </w:t>
      </w:r>
    </w:p>
    <w:p w14:paraId="0E8170C3" w14:textId="252D8B24" w:rsidR="00F0775A" w:rsidRPr="00DE7FC2" w:rsidRDefault="00F0775A" w:rsidP="00DE7FC2">
      <w:pPr>
        <w:pStyle w:val="ListParagraph"/>
        <w:numPr>
          <w:ilvl w:val="0"/>
          <w:numId w:val="32"/>
        </w:numPr>
        <w:spacing w:after="0"/>
        <w:rPr>
          <w:bCs/>
        </w:rPr>
      </w:pPr>
      <w:r w:rsidRPr="00DE7FC2">
        <w:rPr>
          <w:bCs/>
        </w:rPr>
        <w:t>NYS Labor Standards – Laws Gove</w:t>
      </w:r>
      <w:r w:rsidR="000F19DF">
        <w:rPr>
          <w:bCs/>
        </w:rPr>
        <w:t xml:space="preserve">rning the Employment of Minors </w:t>
      </w:r>
      <w:hyperlink r:id="rId18" w:history="1">
        <w:r w:rsidRPr="00DE7FC2">
          <w:rPr>
            <w:rStyle w:val="Hyperlink"/>
            <w:bCs/>
          </w:rPr>
          <w:t>http://www.labor.state.ny.us/workerprotection/laborstandards/workprot/minors.shtm</w:t>
        </w:r>
      </w:hyperlink>
    </w:p>
    <w:p w14:paraId="1478C76E" w14:textId="219151AE" w:rsidR="00FA6B09" w:rsidRPr="00DE7FC2" w:rsidRDefault="00FA6B09" w:rsidP="00DE7FC2">
      <w:pPr>
        <w:pStyle w:val="ListParagraph"/>
        <w:numPr>
          <w:ilvl w:val="0"/>
          <w:numId w:val="32"/>
        </w:numPr>
        <w:spacing w:after="0"/>
        <w:rPr>
          <w:bCs/>
        </w:rPr>
      </w:pPr>
      <w:r w:rsidRPr="00DE7FC2">
        <w:rPr>
          <w:bCs/>
        </w:rPr>
        <w:t xml:space="preserve">NY State Department of Labor – Federal Prohibited Occupations </w:t>
      </w:r>
      <w:hyperlink r:id="rId19" w:history="1">
        <w:r w:rsidRPr="00DE7FC2">
          <w:rPr>
            <w:rStyle w:val="Hyperlink"/>
            <w:bCs/>
          </w:rPr>
          <w:t>https://labor.ny.gov/workerprotection/laborstandards/workprot/fedproc.shtm</w:t>
        </w:r>
      </w:hyperlink>
    </w:p>
    <w:p w14:paraId="258DBD2D" w14:textId="739AAC0D" w:rsidR="00FA6B09" w:rsidRPr="00DE7FC2" w:rsidRDefault="00FA6B09" w:rsidP="00DE7FC2">
      <w:pPr>
        <w:pStyle w:val="ListParagraph"/>
        <w:numPr>
          <w:ilvl w:val="0"/>
          <w:numId w:val="32"/>
        </w:numPr>
        <w:spacing w:after="0"/>
        <w:rPr>
          <w:bCs/>
        </w:rPr>
      </w:pPr>
      <w:r w:rsidRPr="00DE7FC2">
        <w:rPr>
          <w:bCs/>
        </w:rPr>
        <w:t>NY State Department of Labor – State Prohibited Occupations https://www.labor.ny.gov/workerprotection/laborstandards/workprot/stprhboc.shtm</w:t>
      </w:r>
    </w:p>
    <w:p w14:paraId="34C3CB93" w14:textId="77777777" w:rsidR="00F0775A" w:rsidRPr="00DE7FC2" w:rsidRDefault="00F0775A" w:rsidP="00DE7FC2">
      <w:pPr>
        <w:pStyle w:val="ListParagraph"/>
        <w:numPr>
          <w:ilvl w:val="0"/>
          <w:numId w:val="32"/>
        </w:numPr>
        <w:spacing w:after="0"/>
        <w:rPr>
          <w:bCs/>
        </w:rPr>
      </w:pPr>
      <w:r w:rsidRPr="00DE7FC2">
        <w:rPr>
          <w:bCs/>
        </w:rPr>
        <w:t xml:space="preserve">University Protection of Minors Guidelines: </w:t>
      </w:r>
      <w:hyperlink r:id="rId20" w:history="1">
        <w:r w:rsidRPr="00DE7FC2">
          <w:rPr>
            <w:rStyle w:val="Hyperlink"/>
            <w:bCs/>
          </w:rPr>
          <w:t>http://www.risk.cornell.edu/forms-documents/risk-guidance/youth-programs/</w:t>
        </w:r>
      </w:hyperlink>
    </w:p>
    <w:p w14:paraId="2BC22827" w14:textId="7D3E4FB8" w:rsidR="00825929" w:rsidRPr="00CD458C" w:rsidRDefault="0071193A" w:rsidP="00536D83">
      <w:pPr>
        <w:spacing w:before="240" w:after="240"/>
        <w:rPr>
          <w:b/>
          <w:u w:val="single"/>
        </w:rPr>
      </w:pPr>
      <w:r w:rsidRPr="00CD458C">
        <w:rPr>
          <w:b/>
          <w:u w:val="single"/>
        </w:rPr>
        <w:t>CONTACTS</w:t>
      </w:r>
    </w:p>
    <w:p w14:paraId="528B1FA2" w14:textId="77777777" w:rsidR="0071193A" w:rsidRPr="0071193A" w:rsidRDefault="0071193A" w:rsidP="0071193A">
      <w:pPr>
        <w:widowControl w:val="0"/>
        <w:spacing w:after="0" w:line="240" w:lineRule="auto"/>
        <w:rPr>
          <w:rFonts w:eastAsia="Calibri"/>
        </w:rPr>
      </w:pPr>
      <w:r w:rsidRPr="0071193A">
        <w:rPr>
          <w:rFonts w:eastAsia="Calibri"/>
        </w:rPr>
        <w:t>Office of Risk Management and Insurance</w:t>
      </w:r>
    </w:p>
    <w:p w14:paraId="3E495DEC" w14:textId="77777777" w:rsidR="0071193A" w:rsidRPr="0071193A" w:rsidRDefault="00B262EA" w:rsidP="0071193A">
      <w:pPr>
        <w:widowControl w:val="0"/>
        <w:spacing w:after="0" w:line="240" w:lineRule="auto"/>
        <w:rPr>
          <w:rFonts w:eastAsia="Calibri"/>
        </w:rPr>
      </w:pPr>
      <w:r>
        <w:rPr>
          <w:rFonts w:eastAsia="Calibri"/>
        </w:rPr>
        <w:t>395</w:t>
      </w:r>
      <w:r w:rsidR="0071193A" w:rsidRPr="0071193A">
        <w:rPr>
          <w:rFonts w:eastAsia="Calibri"/>
        </w:rPr>
        <w:t xml:space="preserve"> Pine Tree Road, </w:t>
      </w:r>
      <w:r>
        <w:rPr>
          <w:rFonts w:eastAsia="Calibri"/>
        </w:rPr>
        <w:t xml:space="preserve">Suite 210 </w:t>
      </w:r>
      <w:r w:rsidR="0071193A" w:rsidRPr="0071193A">
        <w:rPr>
          <w:rFonts w:eastAsia="Calibri"/>
        </w:rPr>
        <w:t>Ithaca, NY 14850</w:t>
      </w:r>
    </w:p>
    <w:p w14:paraId="1FA4F8EF" w14:textId="77777777" w:rsidR="0071193A" w:rsidRPr="0071193A" w:rsidRDefault="0071193A" w:rsidP="0071193A">
      <w:pPr>
        <w:widowControl w:val="0"/>
        <w:spacing w:after="0" w:line="240" w:lineRule="auto"/>
        <w:rPr>
          <w:rFonts w:eastAsia="Calibri"/>
        </w:rPr>
      </w:pPr>
      <w:r w:rsidRPr="0071193A">
        <w:rPr>
          <w:rFonts w:eastAsia="Calibri"/>
        </w:rPr>
        <w:t>Phone: 607-254-1575</w:t>
      </w:r>
    </w:p>
    <w:p w14:paraId="16EEA645" w14:textId="77777777" w:rsidR="0071193A" w:rsidRPr="0071193A" w:rsidRDefault="0071193A" w:rsidP="0071193A">
      <w:pPr>
        <w:widowControl w:val="0"/>
        <w:spacing w:after="0" w:line="240" w:lineRule="auto"/>
        <w:rPr>
          <w:rFonts w:eastAsia="Calibri"/>
        </w:rPr>
      </w:pPr>
      <w:r w:rsidRPr="0071193A">
        <w:rPr>
          <w:rFonts w:eastAsia="Calibri"/>
        </w:rPr>
        <w:t>Fax: 607-254-8000</w:t>
      </w:r>
    </w:p>
    <w:p w14:paraId="5C6D5671" w14:textId="77777777" w:rsidR="0071193A" w:rsidRPr="0071193A" w:rsidRDefault="0071193A" w:rsidP="0071193A">
      <w:pPr>
        <w:widowControl w:val="0"/>
        <w:spacing w:after="0" w:line="240" w:lineRule="auto"/>
        <w:rPr>
          <w:rFonts w:eastAsia="Calibri"/>
        </w:rPr>
      </w:pPr>
      <w:r w:rsidRPr="0071193A">
        <w:rPr>
          <w:rFonts w:eastAsia="Calibri"/>
        </w:rPr>
        <w:t xml:space="preserve">Email: </w:t>
      </w:r>
      <w:hyperlink r:id="rId21">
        <w:r w:rsidRPr="0071193A">
          <w:rPr>
            <w:rFonts w:eastAsia="Calibri"/>
            <w:color w:val="0000FF"/>
            <w:u w:val="single"/>
          </w:rPr>
          <w:t>risk_mgmt@cornell.edu.</w:t>
        </w:r>
      </w:hyperlink>
    </w:p>
    <w:p w14:paraId="699A21C9" w14:textId="77777777" w:rsidR="0071193A" w:rsidRDefault="0071193A" w:rsidP="0071193A">
      <w:pPr>
        <w:widowControl w:val="0"/>
        <w:spacing w:after="0" w:line="240" w:lineRule="auto"/>
        <w:rPr>
          <w:rFonts w:eastAsia="Calibri"/>
          <w:color w:val="0000FF"/>
          <w:u w:val="single"/>
        </w:rPr>
      </w:pPr>
      <w:r w:rsidRPr="0071193A">
        <w:rPr>
          <w:rFonts w:eastAsia="Calibri"/>
        </w:rPr>
        <w:t xml:space="preserve">Website: </w:t>
      </w:r>
      <w:hyperlink r:id="rId22" w:history="1">
        <w:r w:rsidRPr="0071193A">
          <w:rPr>
            <w:rFonts w:eastAsia="Calibri"/>
            <w:color w:val="0000FF"/>
            <w:u w:val="single"/>
          </w:rPr>
          <w:t>www.risk.cornell.edu</w:t>
        </w:r>
      </w:hyperlink>
    </w:p>
    <w:p w14:paraId="590F1C12" w14:textId="77777777" w:rsidR="00573C3A" w:rsidRDefault="00573C3A" w:rsidP="00B262EA">
      <w:pPr>
        <w:widowControl w:val="0"/>
        <w:spacing w:after="0" w:line="240" w:lineRule="auto"/>
        <w:rPr>
          <w:rFonts w:eastAsia="Calibri"/>
        </w:rPr>
      </w:pPr>
    </w:p>
    <w:p w14:paraId="33B4C8A3" w14:textId="77777777" w:rsidR="00B262EA" w:rsidRDefault="00B262EA" w:rsidP="00B262EA">
      <w:pPr>
        <w:widowControl w:val="0"/>
        <w:spacing w:after="0" w:line="240" w:lineRule="auto"/>
        <w:rPr>
          <w:rFonts w:eastAsia="Calibri"/>
        </w:rPr>
      </w:pPr>
      <w:r w:rsidRPr="00B262EA">
        <w:rPr>
          <w:rFonts w:eastAsia="Calibri"/>
        </w:rPr>
        <w:t>Environment, Health and Safety</w:t>
      </w:r>
      <w:r w:rsidR="00D31CF4">
        <w:rPr>
          <w:rFonts w:eastAsia="Calibri"/>
        </w:rPr>
        <w:t xml:space="preserve"> – </w:t>
      </w:r>
      <w:r w:rsidRPr="00B262EA">
        <w:rPr>
          <w:rFonts w:eastAsia="Calibri"/>
        </w:rPr>
        <w:t>Main Office</w:t>
      </w:r>
    </w:p>
    <w:p w14:paraId="3981F6D9" w14:textId="77777777" w:rsidR="00D31CF4" w:rsidRDefault="00D31CF4" w:rsidP="00B262EA">
      <w:pPr>
        <w:widowControl w:val="0"/>
        <w:spacing w:after="0" w:line="240" w:lineRule="auto"/>
        <w:rPr>
          <w:rFonts w:eastAsia="Calibri"/>
        </w:rPr>
      </w:pPr>
      <w:r w:rsidRPr="00B262EA">
        <w:rPr>
          <w:rFonts w:eastAsia="Calibri"/>
        </w:rPr>
        <w:t>395 Pine Tree Road, Suite 210</w:t>
      </w:r>
      <w:r>
        <w:rPr>
          <w:rFonts w:eastAsia="Calibri"/>
        </w:rPr>
        <w:t xml:space="preserve"> </w:t>
      </w:r>
      <w:r w:rsidRPr="00B262EA">
        <w:rPr>
          <w:rFonts w:eastAsia="Calibri"/>
        </w:rPr>
        <w:t>Ithaca, NY 14850 </w:t>
      </w:r>
    </w:p>
    <w:p w14:paraId="49E7B04F" w14:textId="77777777" w:rsidR="00D31CF4" w:rsidRDefault="00D31CF4" w:rsidP="00B262EA">
      <w:pPr>
        <w:widowControl w:val="0"/>
        <w:spacing w:after="0" w:line="240" w:lineRule="auto"/>
        <w:rPr>
          <w:rFonts w:eastAsia="Calibri"/>
        </w:rPr>
      </w:pPr>
      <w:r>
        <w:rPr>
          <w:rFonts w:eastAsia="Calibri"/>
        </w:rPr>
        <w:t>Phone: 607-255-8200</w:t>
      </w:r>
    </w:p>
    <w:p w14:paraId="5863997E" w14:textId="77777777" w:rsidR="00D31CF4" w:rsidRDefault="00D31CF4" w:rsidP="00B262EA">
      <w:pPr>
        <w:widowControl w:val="0"/>
        <w:spacing w:after="0" w:line="240" w:lineRule="auto"/>
        <w:rPr>
          <w:rFonts w:eastAsia="Calibri"/>
        </w:rPr>
      </w:pPr>
      <w:r>
        <w:rPr>
          <w:rFonts w:eastAsia="Calibri"/>
        </w:rPr>
        <w:t>Fax: 607-255-8267</w:t>
      </w:r>
    </w:p>
    <w:p w14:paraId="00046BF7" w14:textId="77777777" w:rsidR="00D31CF4" w:rsidRDefault="00D31CF4" w:rsidP="00B262EA">
      <w:pPr>
        <w:widowControl w:val="0"/>
        <w:spacing w:after="0" w:line="240" w:lineRule="auto"/>
        <w:rPr>
          <w:rFonts w:eastAsia="Calibri"/>
        </w:rPr>
      </w:pPr>
      <w:r>
        <w:rPr>
          <w:rFonts w:eastAsia="Calibri"/>
        </w:rPr>
        <w:t xml:space="preserve">Email: </w:t>
      </w:r>
      <w:hyperlink r:id="rId23" w:history="1">
        <w:r w:rsidRPr="00DB5D22">
          <w:rPr>
            <w:rStyle w:val="Hyperlink"/>
            <w:rFonts w:eastAsia="Calibri"/>
          </w:rPr>
          <w:t>askehs@cornell.edu</w:t>
        </w:r>
      </w:hyperlink>
    </w:p>
    <w:p w14:paraId="44AE9981" w14:textId="68AE4389" w:rsidR="00D31CF4" w:rsidRDefault="00D31CF4" w:rsidP="00B262EA">
      <w:pPr>
        <w:widowControl w:val="0"/>
        <w:spacing w:after="0" w:line="240" w:lineRule="auto"/>
        <w:rPr>
          <w:rFonts w:eastAsia="Calibri"/>
        </w:rPr>
      </w:pPr>
      <w:r>
        <w:rPr>
          <w:rFonts w:eastAsia="Calibri"/>
        </w:rPr>
        <w:t xml:space="preserve">Website: </w:t>
      </w:r>
      <w:hyperlink r:id="rId24" w:history="1">
        <w:r w:rsidR="00DE7FC2" w:rsidRPr="001548EB">
          <w:rPr>
            <w:rStyle w:val="Hyperlink"/>
            <w:rFonts w:eastAsia="Calibri"/>
          </w:rPr>
          <w:t>www.ehs.cornell.edu</w:t>
        </w:r>
      </w:hyperlink>
    </w:p>
    <w:p w14:paraId="7943BB3C" w14:textId="77777777" w:rsidR="00D31CF4" w:rsidRPr="00B262EA" w:rsidRDefault="00D31CF4" w:rsidP="00B262EA">
      <w:pPr>
        <w:widowControl w:val="0"/>
        <w:spacing w:after="0" w:line="240" w:lineRule="auto"/>
        <w:rPr>
          <w:rFonts w:eastAsia="Calibri"/>
        </w:rPr>
      </w:pPr>
    </w:p>
    <w:p w14:paraId="3672DE8A" w14:textId="77777777" w:rsidR="00B262EA" w:rsidRPr="0071193A" w:rsidRDefault="00B262EA" w:rsidP="0071193A">
      <w:pPr>
        <w:widowControl w:val="0"/>
        <w:spacing w:after="0" w:line="240" w:lineRule="auto"/>
        <w:rPr>
          <w:rFonts w:eastAsia="Calibri"/>
        </w:rPr>
      </w:pPr>
    </w:p>
    <w:sectPr w:rsidR="00B262EA" w:rsidRPr="0071193A" w:rsidSect="00AF39C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FE6A60" w16cid:durableId="1F61FF8F"/>
  <w16cid:commentId w16cid:paraId="37517726" w16cid:durableId="1F61FF4A"/>
  <w16cid:commentId w16cid:paraId="7D3EB1D1" w16cid:durableId="1F61FF4B"/>
  <w16cid:commentId w16cid:paraId="145662E6" w16cid:durableId="1F61FF4C"/>
  <w16cid:commentId w16cid:paraId="273B315A" w16cid:durableId="1F6201FC"/>
  <w16cid:commentId w16cid:paraId="10F90DBA" w16cid:durableId="1F6204F2"/>
  <w16cid:commentId w16cid:paraId="331BC43C" w16cid:durableId="1F620751"/>
  <w16cid:commentId w16cid:paraId="1244B38C" w16cid:durableId="1F620816"/>
  <w16cid:commentId w16cid:paraId="5F623DC2" w16cid:durableId="1F61FF4D"/>
  <w16cid:commentId w16cid:paraId="3C6DC960" w16cid:durableId="1F620B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8D35B" w14:textId="77777777" w:rsidR="006506BB" w:rsidRDefault="006506BB" w:rsidP="00EE4FD5">
      <w:pPr>
        <w:spacing w:after="0" w:line="240" w:lineRule="auto"/>
      </w:pPr>
      <w:r>
        <w:separator/>
      </w:r>
    </w:p>
  </w:endnote>
  <w:endnote w:type="continuationSeparator" w:id="0">
    <w:p w14:paraId="51978905" w14:textId="77777777" w:rsidR="006506BB" w:rsidRDefault="006506BB" w:rsidP="00EE4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75A42" w14:textId="77777777" w:rsidR="00F14F7F" w:rsidRDefault="00F14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448891"/>
      <w:docPartObj>
        <w:docPartGallery w:val="Page Numbers (Bottom of Page)"/>
        <w:docPartUnique/>
      </w:docPartObj>
    </w:sdtPr>
    <w:sdtEndPr>
      <w:rPr>
        <w:noProof/>
      </w:rPr>
    </w:sdtEndPr>
    <w:sdtContent>
      <w:p w14:paraId="3B622AB3" w14:textId="6FF86926" w:rsidR="00F14F7F" w:rsidRDefault="00F14F7F">
        <w:pPr>
          <w:pStyle w:val="Footer"/>
          <w:jc w:val="right"/>
        </w:pPr>
        <w:r>
          <w:fldChar w:fldCharType="begin"/>
        </w:r>
        <w:r>
          <w:instrText xml:space="preserve"> PAGE   \* MERGEFORMAT </w:instrText>
        </w:r>
        <w:r>
          <w:fldChar w:fldCharType="separate"/>
        </w:r>
        <w:r w:rsidR="00D163A3">
          <w:rPr>
            <w:noProof/>
          </w:rPr>
          <w:t>5</w:t>
        </w:r>
        <w:r>
          <w:rPr>
            <w:noProof/>
          </w:rPr>
          <w:fldChar w:fldCharType="end"/>
        </w:r>
      </w:p>
    </w:sdtContent>
  </w:sdt>
  <w:p w14:paraId="4D23F749" w14:textId="18EBE927" w:rsidR="00F46ECA" w:rsidRPr="00F14F7F" w:rsidRDefault="00F14F7F">
    <w:pPr>
      <w:pStyle w:val="Footer"/>
      <w:rPr>
        <w:sz w:val="16"/>
        <w:szCs w:val="16"/>
      </w:rPr>
    </w:pPr>
    <w:r w:rsidRPr="00F14F7F">
      <w:rPr>
        <w:sz w:val="16"/>
        <w:szCs w:val="16"/>
      </w:rPr>
      <w:t>12/2018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BC227" w14:textId="77777777" w:rsidR="00F14F7F" w:rsidRDefault="00F14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B2BAA" w14:textId="77777777" w:rsidR="006506BB" w:rsidRDefault="006506BB" w:rsidP="00EE4FD5">
      <w:pPr>
        <w:spacing w:after="0" w:line="240" w:lineRule="auto"/>
      </w:pPr>
      <w:r>
        <w:separator/>
      </w:r>
    </w:p>
  </w:footnote>
  <w:footnote w:type="continuationSeparator" w:id="0">
    <w:p w14:paraId="74E448EB" w14:textId="77777777" w:rsidR="006506BB" w:rsidRDefault="006506BB" w:rsidP="00EE4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6CB93" w14:textId="77777777" w:rsidR="00F14F7F" w:rsidRDefault="00F14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E8208" w14:textId="23DB51E6" w:rsidR="00F46ECA" w:rsidRDefault="00F46ECA" w:rsidP="005E331D">
    <w:pPr>
      <w:pStyle w:val="Header"/>
      <w:jc w:val="right"/>
    </w:pPr>
  </w:p>
  <w:p w14:paraId="577F2FD1" w14:textId="77777777" w:rsidR="00F46ECA" w:rsidRDefault="00F46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F7FD9" w14:textId="77777777" w:rsidR="00F14F7F" w:rsidRDefault="00F14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5166E"/>
    <w:multiLevelType w:val="hybridMultilevel"/>
    <w:tmpl w:val="47A01CC6"/>
    <w:lvl w:ilvl="0" w:tplc="652A54F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95A1B"/>
    <w:multiLevelType w:val="hybridMultilevel"/>
    <w:tmpl w:val="13363F66"/>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198362A7"/>
    <w:multiLevelType w:val="hybridMultilevel"/>
    <w:tmpl w:val="FE383676"/>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 w15:restartNumberingAfterBreak="0">
    <w:nsid w:val="1ECB1163"/>
    <w:multiLevelType w:val="multilevel"/>
    <w:tmpl w:val="6A9A2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E332D"/>
    <w:multiLevelType w:val="hybridMultilevel"/>
    <w:tmpl w:val="FFB8FE1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22AB2345"/>
    <w:multiLevelType w:val="hybridMultilevel"/>
    <w:tmpl w:val="1724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677AC"/>
    <w:multiLevelType w:val="hybridMultilevel"/>
    <w:tmpl w:val="AF6C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34E98"/>
    <w:multiLevelType w:val="hybridMultilevel"/>
    <w:tmpl w:val="A2786316"/>
    <w:lvl w:ilvl="0" w:tplc="652A54F6">
      <w:start w:val="1"/>
      <w:numFmt w:val="bullet"/>
      <w:lvlText w:val=""/>
      <w:lvlJc w:val="left"/>
      <w:pPr>
        <w:ind w:left="1008" w:hanging="360"/>
      </w:pPr>
      <w:rPr>
        <w:rFonts w:ascii="Wingdings 2" w:hAnsi="Wingdings 2"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2AE54251"/>
    <w:multiLevelType w:val="hybridMultilevel"/>
    <w:tmpl w:val="16B219EC"/>
    <w:lvl w:ilvl="0" w:tplc="652A54F6">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1153F5"/>
    <w:multiLevelType w:val="multilevel"/>
    <w:tmpl w:val="3B42AD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1C721B"/>
    <w:multiLevelType w:val="multilevel"/>
    <w:tmpl w:val="75326C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CE0FB7"/>
    <w:multiLevelType w:val="hybridMultilevel"/>
    <w:tmpl w:val="075C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650BD"/>
    <w:multiLevelType w:val="multilevel"/>
    <w:tmpl w:val="2DC8DB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7E3452"/>
    <w:multiLevelType w:val="hybridMultilevel"/>
    <w:tmpl w:val="BB06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FA535C"/>
    <w:multiLevelType w:val="hybridMultilevel"/>
    <w:tmpl w:val="87D698B6"/>
    <w:lvl w:ilvl="0" w:tplc="652A54F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E6876"/>
    <w:multiLevelType w:val="hybridMultilevel"/>
    <w:tmpl w:val="6666DDC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4E6C3F25"/>
    <w:multiLevelType w:val="hybridMultilevel"/>
    <w:tmpl w:val="6786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A16AE"/>
    <w:multiLevelType w:val="hybridMultilevel"/>
    <w:tmpl w:val="E6A01FC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4F356563"/>
    <w:multiLevelType w:val="multilevel"/>
    <w:tmpl w:val="B8481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C8744B"/>
    <w:multiLevelType w:val="hybridMultilevel"/>
    <w:tmpl w:val="579EB6E0"/>
    <w:lvl w:ilvl="0" w:tplc="652A54F6">
      <w:start w:val="1"/>
      <w:numFmt w:val="bullet"/>
      <w:lvlText w:val=""/>
      <w:lvlJc w:val="left"/>
      <w:pPr>
        <w:ind w:left="1368" w:hanging="360"/>
      </w:pPr>
      <w:rPr>
        <w:rFonts w:ascii="Wingdings 2" w:hAnsi="Wingdings 2"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0" w15:restartNumberingAfterBreak="0">
    <w:nsid w:val="51E75FE7"/>
    <w:multiLevelType w:val="hybridMultilevel"/>
    <w:tmpl w:val="B29C7EA2"/>
    <w:lvl w:ilvl="0" w:tplc="652A54F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20930"/>
    <w:multiLevelType w:val="hybridMultilevel"/>
    <w:tmpl w:val="5C94294A"/>
    <w:lvl w:ilvl="0" w:tplc="652A54F6">
      <w:start w:val="1"/>
      <w:numFmt w:val="bullet"/>
      <w:lvlText w:val=""/>
      <w:lvlJc w:val="left"/>
      <w:pPr>
        <w:ind w:left="1368" w:hanging="360"/>
      </w:pPr>
      <w:rPr>
        <w:rFonts w:ascii="Wingdings 2" w:hAnsi="Wingdings 2"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2" w15:restartNumberingAfterBreak="0">
    <w:nsid w:val="5BFA469A"/>
    <w:multiLevelType w:val="hybridMultilevel"/>
    <w:tmpl w:val="8D12899A"/>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15:restartNumberingAfterBreak="0">
    <w:nsid w:val="601E272E"/>
    <w:multiLevelType w:val="hybridMultilevel"/>
    <w:tmpl w:val="C49C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6C150D"/>
    <w:multiLevelType w:val="multilevel"/>
    <w:tmpl w:val="814E1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94461C"/>
    <w:multiLevelType w:val="multilevel"/>
    <w:tmpl w:val="C5863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A60E0E"/>
    <w:multiLevelType w:val="hybridMultilevel"/>
    <w:tmpl w:val="D222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79611A"/>
    <w:multiLevelType w:val="multilevel"/>
    <w:tmpl w:val="FA624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F6154E"/>
    <w:multiLevelType w:val="multilevel"/>
    <w:tmpl w:val="10026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1427FC"/>
    <w:multiLevelType w:val="multilevel"/>
    <w:tmpl w:val="745EBA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244FD2"/>
    <w:multiLevelType w:val="hybridMultilevel"/>
    <w:tmpl w:val="CDE4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365DB4"/>
    <w:multiLevelType w:val="hybridMultilevel"/>
    <w:tmpl w:val="F752B8E0"/>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7"/>
  </w:num>
  <w:num w:numId="2">
    <w:abstractNumId w:val="3"/>
  </w:num>
  <w:num w:numId="3">
    <w:abstractNumId w:val="25"/>
  </w:num>
  <w:num w:numId="4">
    <w:abstractNumId w:val="12"/>
  </w:num>
  <w:num w:numId="5">
    <w:abstractNumId w:val="10"/>
  </w:num>
  <w:num w:numId="6">
    <w:abstractNumId w:val="28"/>
  </w:num>
  <w:num w:numId="7">
    <w:abstractNumId w:val="18"/>
  </w:num>
  <w:num w:numId="8">
    <w:abstractNumId w:val="29"/>
  </w:num>
  <w:num w:numId="9">
    <w:abstractNumId w:val="9"/>
  </w:num>
  <w:num w:numId="10">
    <w:abstractNumId w:val="24"/>
  </w:num>
  <w:num w:numId="11">
    <w:abstractNumId w:val="22"/>
  </w:num>
  <w:num w:numId="12">
    <w:abstractNumId w:val="31"/>
  </w:num>
  <w:num w:numId="13">
    <w:abstractNumId w:val="1"/>
  </w:num>
  <w:num w:numId="14">
    <w:abstractNumId w:val="2"/>
  </w:num>
  <w:num w:numId="15">
    <w:abstractNumId w:val="17"/>
  </w:num>
  <w:num w:numId="16">
    <w:abstractNumId w:val="15"/>
  </w:num>
  <w:num w:numId="17">
    <w:abstractNumId w:val="4"/>
  </w:num>
  <w:num w:numId="18">
    <w:abstractNumId w:val="7"/>
  </w:num>
  <w:num w:numId="19">
    <w:abstractNumId w:val="8"/>
  </w:num>
  <w:num w:numId="20">
    <w:abstractNumId w:val="21"/>
  </w:num>
  <w:num w:numId="21">
    <w:abstractNumId w:val="19"/>
  </w:num>
  <w:num w:numId="22">
    <w:abstractNumId w:val="14"/>
  </w:num>
  <w:num w:numId="23">
    <w:abstractNumId w:val="20"/>
  </w:num>
  <w:num w:numId="24">
    <w:abstractNumId w:val="0"/>
  </w:num>
  <w:num w:numId="25">
    <w:abstractNumId w:val="13"/>
  </w:num>
  <w:num w:numId="26">
    <w:abstractNumId w:val="11"/>
  </w:num>
  <w:num w:numId="27">
    <w:abstractNumId w:val="30"/>
  </w:num>
  <w:num w:numId="28">
    <w:abstractNumId w:val="23"/>
  </w:num>
  <w:num w:numId="29">
    <w:abstractNumId w:val="26"/>
  </w:num>
  <w:num w:numId="30">
    <w:abstractNumId w:val="6"/>
  </w:num>
  <w:num w:numId="31">
    <w:abstractNumId w:val="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29"/>
    <w:rsid w:val="00000A99"/>
    <w:rsid w:val="00021140"/>
    <w:rsid w:val="00035EE9"/>
    <w:rsid w:val="00036242"/>
    <w:rsid w:val="00076DA5"/>
    <w:rsid w:val="00090110"/>
    <w:rsid w:val="000A0EF8"/>
    <w:rsid w:val="000A28FE"/>
    <w:rsid w:val="000B3F36"/>
    <w:rsid w:val="000B6B30"/>
    <w:rsid w:val="000C6459"/>
    <w:rsid w:val="000D429C"/>
    <w:rsid w:val="000F19DF"/>
    <w:rsid w:val="000F3C2F"/>
    <w:rsid w:val="000F66DD"/>
    <w:rsid w:val="000F79D1"/>
    <w:rsid w:val="00104DEE"/>
    <w:rsid w:val="00117B07"/>
    <w:rsid w:val="00162E27"/>
    <w:rsid w:val="00172954"/>
    <w:rsid w:val="00180AB0"/>
    <w:rsid w:val="00182FCF"/>
    <w:rsid w:val="0018532C"/>
    <w:rsid w:val="001A0B11"/>
    <w:rsid w:val="001A4439"/>
    <w:rsid w:val="001A5A00"/>
    <w:rsid w:val="001B2440"/>
    <w:rsid w:val="001C4EE3"/>
    <w:rsid w:val="001E01EC"/>
    <w:rsid w:val="001E1DCB"/>
    <w:rsid w:val="002025C9"/>
    <w:rsid w:val="00243CBB"/>
    <w:rsid w:val="00255337"/>
    <w:rsid w:val="002650A4"/>
    <w:rsid w:val="002670DE"/>
    <w:rsid w:val="00267AC9"/>
    <w:rsid w:val="002824EE"/>
    <w:rsid w:val="002A228B"/>
    <w:rsid w:val="002C6B6A"/>
    <w:rsid w:val="002D23B6"/>
    <w:rsid w:val="002D6202"/>
    <w:rsid w:val="002F1440"/>
    <w:rsid w:val="002F5DE4"/>
    <w:rsid w:val="00303C66"/>
    <w:rsid w:val="003203A4"/>
    <w:rsid w:val="00326775"/>
    <w:rsid w:val="00335D38"/>
    <w:rsid w:val="003432A7"/>
    <w:rsid w:val="00365F76"/>
    <w:rsid w:val="00370230"/>
    <w:rsid w:val="003704A1"/>
    <w:rsid w:val="00373CA9"/>
    <w:rsid w:val="0037627C"/>
    <w:rsid w:val="003C56C3"/>
    <w:rsid w:val="003D7E30"/>
    <w:rsid w:val="003E6893"/>
    <w:rsid w:val="003F6E8F"/>
    <w:rsid w:val="0040527E"/>
    <w:rsid w:val="004069A6"/>
    <w:rsid w:val="004129F5"/>
    <w:rsid w:val="00427DA2"/>
    <w:rsid w:val="00435E54"/>
    <w:rsid w:val="00474C58"/>
    <w:rsid w:val="004808BB"/>
    <w:rsid w:val="004914C1"/>
    <w:rsid w:val="00491963"/>
    <w:rsid w:val="004A008D"/>
    <w:rsid w:val="004A6BF8"/>
    <w:rsid w:val="004B0236"/>
    <w:rsid w:val="004C035E"/>
    <w:rsid w:val="00501BBA"/>
    <w:rsid w:val="005076D5"/>
    <w:rsid w:val="00507E60"/>
    <w:rsid w:val="00520098"/>
    <w:rsid w:val="00526220"/>
    <w:rsid w:val="00531DA9"/>
    <w:rsid w:val="005340DC"/>
    <w:rsid w:val="00536D83"/>
    <w:rsid w:val="0054368D"/>
    <w:rsid w:val="00551DCE"/>
    <w:rsid w:val="0056094F"/>
    <w:rsid w:val="00573C3A"/>
    <w:rsid w:val="005A5889"/>
    <w:rsid w:val="005C366F"/>
    <w:rsid w:val="005D27F5"/>
    <w:rsid w:val="005E0E4E"/>
    <w:rsid w:val="005E331D"/>
    <w:rsid w:val="005F6721"/>
    <w:rsid w:val="006007F2"/>
    <w:rsid w:val="00611C4E"/>
    <w:rsid w:val="0061391C"/>
    <w:rsid w:val="00615C7B"/>
    <w:rsid w:val="0062066B"/>
    <w:rsid w:val="00625A2A"/>
    <w:rsid w:val="006506BB"/>
    <w:rsid w:val="00667EB7"/>
    <w:rsid w:val="0067789D"/>
    <w:rsid w:val="00677A70"/>
    <w:rsid w:val="00682BCE"/>
    <w:rsid w:val="00694603"/>
    <w:rsid w:val="006E1E47"/>
    <w:rsid w:val="006F1DBC"/>
    <w:rsid w:val="0071193A"/>
    <w:rsid w:val="00714D6D"/>
    <w:rsid w:val="00721E76"/>
    <w:rsid w:val="00723619"/>
    <w:rsid w:val="007441CD"/>
    <w:rsid w:val="007568AE"/>
    <w:rsid w:val="00780E61"/>
    <w:rsid w:val="00787FA6"/>
    <w:rsid w:val="007B31B8"/>
    <w:rsid w:val="007D1FFA"/>
    <w:rsid w:val="007F0DFA"/>
    <w:rsid w:val="007F628C"/>
    <w:rsid w:val="008002F4"/>
    <w:rsid w:val="00825929"/>
    <w:rsid w:val="00833DA2"/>
    <w:rsid w:val="008629B5"/>
    <w:rsid w:val="008665A4"/>
    <w:rsid w:val="00866805"/>
    <w:rsid w:val="0089197B"/>
    <w:rsid w:val="008A2D17"/>
    <w:rsid w:val="008C02DB"/>
    <w:rsid w:val="008F546F"/>
    <w:rsid w:val="00903DCC"/>
    <w:rsid w:val="009061E6"/>
    <w:rsid w:val="009376C1"/>
    <w:rsid w:val="009535F8"/>
    <w:rsid w:val="00981D2A"/>
    <w:rsid w:val="00986871"/>
    <w:rsid w:val="00990069"/>
    <w:rsid w:val="009C5D6D"/>
    <w:rsid w:val="009D2558"/>
    <w:rsid w:val="009D435E"/>
    <w:rsid w:val="009E3FC1"/>
    <w:rsid w:val="009F014E"/>
    <w:rsid w:val="00A042EE"/>
    <w:rsid w:val="00A25848"/>
    <w:rsid w:val="00A32E0D"/>
    <w:rsid w:val="00A35D90"/>
    <w:rsid w:val="00A45B9C"/>
    <w:rsid w:val="00A50AE2"/>
    <w:rsid w:val="00A70BC5"/>
    <w:rsid w:val="00AC3EA1"/>
    <w:rsid w:val="00AE17EB"/>
    <w:rsid w:val="00AE332A"/>
    <w:rsid w:val="00AF0DC5"/>
    <w:rsid w:val="00AF39C5"/>
    <w:rsid w:val="00AF40BB"/>
    <w:rsid w:val="00B1502F"/>
    <w:rsid w:val="00B262EA"/>
    <w:rsid w:val="00B545FF"/>
    <w:rsid w:val="00B93946"/>
    <w:rsid w:val="00B978D3"/>
    <w:rsid w:val="00BA37B6"/>
    <w:rsid w:val="00BE12C1"/>
    <w:rsid w:val="00BE3A30"/>
    <w:rsid w:val="00C02D6D"/>
    <w:rsid w:val="00C06D44"/>
    <w:rsid w:val="00C250DC"/>
    <w:rsid w:val="00C37A19"/>
    <w:rsid w:val="00C37B26"/>
    <w:rsid w:val="00C72610"/>
    <w:rsid w:val="00CC3F72"/>
    <w:rsid w:val="00CD130C"/>
    <w:rsid w:val="00CD458C"/>
    <w:rsid w:val="00CE2416"/>
    <w:rsid w:val="00CF25EF"/>
    <w:rsid w:val="00D01D5A"/>
    <w:rsid w:val="00D10C3E"/>
    <w:rsid w:val="00D12CFA"/>
    <w:rsid w:val="00D163A3"/>
    <w:rsid w:val="00D31CF4"/>
    <w:rsid w:val="00D46714"/>
    <w:rsid w:val="00D57F14"/>
    <w:rsid w:val="00D90A64"/>
    <w:rsid w:val="00DA5D39"/>
    <w:rsid w:val="00DB41EC"/>
    <w:rsid w:val="00DE7FC2"/>
    <w:rsid w:val="00DF6EDE"/>
    <w:rsid w:val="00E004E8"/>
    <w:rsid w:val="00E03750"/>
    <w:rsid w:val="00E206F3"/>
    <w:rsid w:val="00E31FEA"/>
    <w:rsid w:val="00E4277C"/>
    <w:rsid w:val="00E47807"/>
    <w:rsid w:val="00E50EAA"/>
    <w:rsid w:val="00E51033"/>
    <w:rsid w:val="00E555A0"/>
    <w:rsid w:val="00E60659"/>
    <w:rsid w:val="00E65074"/>
    <w:rsid w:val="00EC2D0E"/>
    <w:rsid w:val="00ED1C7B"/>
    <w:rsid w:val="00EE4FD5"/>
    <w:rsid w:val="00F021CA"/>
    <w:rsid w:val="00F0719B"/>
    <w:rsid w:val="00F0775A"/>
    <w:rsid w:val="00F14F7F"/>
    <w:rsid w:val="00F46ECA"/>
    <w:rsid w:val="00F52F2A"/>
    <w:rsid w:val="00F6396E"/>
    <w:rsid w:val="00F74606"/>
    <w:rsid w:val="00F8301D"/>
    <w:rsid w:val="00F832F1"/>
    <w:rsid w:val="00F83F19"/>
    <w:rsid w:val="00FA084F"/>
    <w:rsid w:val="00FA6B09"/>
    <w:rsid w:val="00FF6D44"/>
    <w:rsid w:val="00FF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3BC8F"/>
  <w15:chartTrackingRefBased/>
  <w15:docId w15:val="{E5069F59-D591-49FA-B6D0-B23C5330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929"/>
    <w:rPr>
      <w:color w:val="0563C1" w:themeColor="hyperlink"/>
      <w:u w:val="single"/>
    </w:rPr>
  </w:style>
  <w:style w:type="paragraph" w:styleId="ListParagraph">
    <w:name w:val="List Paragraph"/>
    <w:basedOn w:val="Normal"/>
    <w:uiPriority w:val="34"/>
    <w:qFormat/>
    <w:rsid w:val="008629B5"/>
    <w:pPr>
      <w:ind w:left="720"/>
      <w:contextualSpacing/>
    </w:pPr>
  </w:style>
  <w:style w:type="paragraph" w:styleId="NoSpacing">
    <w:name w:val="No Spacing"/>
    <w:uiPriority w:val="1"/>
    <w:qFormat/>
    <w:rsid w:val="00E47807"/>
    <w:pPr>
      <w:spacing w:after="0" w:line="240" w:lineRule="auto"/>
    </w:pPr>
  </w:style>
  <w:style w:type="paragraph" w:styleId="Header">
    <w:name w:val="header"/>
    <w:basedOn w:val="Normal"/>
    <w:link w:val="HeaderChar"/>
    <w:uiPriority w:val="99"/>
    <w:unhideWhenUsed/>
    <w:rsid w:val="00EE4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FD5"/>
  </w:style>
  <w:style w:type="paragraph" w:styleId="Footer">
    <w:name w:val="footer"/>
    <w:basedOn w:val="Normal"/>
    <w:link w:val="FooterChar"/>
    <w:uiPriority w:val="99"/>
    <w:unhideWhenUsed/>
    <w:rsid w:val="00EE4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FD5"/>
  </w:style>
  <w:style w:type="paragraph" w:styleId="BalloonText">
    <w:name w:val="Balloon Text"/>
    <w:basedOn w:val="Normal"/>
    <w:link w:val="BalloonTextChar"/>
    <w:uiPriority w:val="99"/>
    <w:semiHidden/>
    <w:unhideWhenUsed/>
    <w:rsid w:val="00182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FCF"/>
    <w:rPr>
      <w:rFonts w:ascii="Segoe UI" w:hAnsi="Segoe UI" w:cs="Segoe UI"/>
      <w:sz w:val="18"/>
      <w:szCs w:val="18"/>
    </w:rPr>
  </w:style>
  <w:style w:type="character" w:styleId="CommentReference">
    <w:name w:val="annotation reference"/>
    <w:basedOn w:val="DefaultParagraphFont"/>
    <w:uiPriority w:val="99"/>
    <w:semiHidden/>
    <w:unhideWhenUsed/>
    <w:rsid w:val="00182FCF"/>
    <w:rPr>
      <w:sz w:val="16"/>
      <w:szCs w:val="16"/>
    </w:rPr>
  </w:style>
  <w:style w:type="paragraph" w:styleId="CommentText">
    <w:name w:val="annotation text"/>
    <w:basedOn w:val="Normal"/>
    <w:link w:val="CommentTextChar"/>
    <w:uiPriority w:val="99"/>
    <w:semiHidden/>
    <w:unhideWhenUsed/>
    <w:rsid w:val="00182FCF"/>
    <w:pPr>
      <w:spacing w:line="240" w:lineRule="auto"/>
    </w:pPr>
    <w:rPr>
      <w:sz w:val="20"/>
      <w:szCs w:val="20"/>
    </w:rPr>
  </w:style>
  <w:style w:type="character" w:customStyle="1" w:styleId="CommentTextChar">
    <w:name w:val="Comment Text Char"/>
    <w:basedOn w:val="DefaultParagraphFont"/>
    <w:link w:val="CommentText"/>
    <w:uiPriority w:val="99"/>
    <w:semiHidden/>
    <w:rsid w:val="00182FCF"/>
    <w:rPr>
      <w:sz w:val="20"/>
      <w:szCs w:val="20"/>
    </w:rPr>
  </w:style>
  <w:style w:type="paragraph" w:styleId="CommentSubject">
    <w:name w:val="annotation subject"/>
    <w:basedOn w:val="CommentText"/>
    <w:next w:val="CommentText"/>
    <w:link w:val="CommentSubjectChar"/>
    <w:uiPriority w:val="99"/>
    <w:semiHidden/>
    <w:unhideWhenUsed/>
    <w:rsid w:val="00182FCF"/>
    <w:rPr>
      <w:b/>
      <w:bCs/>
    </w:rPr>
  </w:style>
  <w:style w:type="character" w:customStyle="1" w:styleId="CommentSubjectChar">
    <w:name w:val="Comment Subject Char"/>
    <w:basedOn w:val="CommentTextChar"/>
    <w:link w:val="CommentSubject"/>
    <w:uiPriority w:val="99"/>
    <w:semiHidden/>
    <w:rsid w:val="00182FCF"/>
    <w:rPr>
      <w:b/>
      <w:bCs/>
      <w:sz w:val="20"/>
      <w:szCs w:val="20"/>
    </w:rPr>
  </w:style>
  <w:style w:type="character" w:styleId="FollowedHyperlink">
    <w:name w:val="FollowedHyperlink"/>
    <w:basedOn w:val="DefaultParagraphFont"/>
    <w:uiPriority w:val="99"/>
    <w:semiHidden/>
    <w:unhideWhenUsed/>
    <w:rsid w:val="00AF0DC5"/>
    <w:rPr>
      <w:color w:val="954F72" w:themeColor="followedHyperlink"/>
      <w:u w:val="single"/>
    </w:rPr>
  </w:style>
  <w:style w:type="table" w:styleId="TableGrid">
    <w:name w:val="Table Grid"/>
    <w:basedOn w:val="TableNormal"/>
    <w:uiPriority w:val="39"/>
    <w:rsid w:val="00AF0DC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650A4"/>
    <w:rPr>
      <w:color w:val="808080"/>
      <w:shd w:val="clear" w:color="auto" w:fill="E6E6E6"/>
    </w:rPr>
  </w:style>
  <w:style w:type="paragraph" w:styleId="Revision">
    <w:name w:val="Revision"/>
    <w:hidden/>
    <w:uiPriority w:val="99"/>
    <w:semiHidden/>
    <w:rsid w:val="005200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5778">
      <w:bodyDiv w:val="1"/>
      <w:marLeft w:val="0"/>
      <w:marRight w:val="0"/>
      <w:marTop w:val="0"/>
      <w:marBottom w:val="0"/>
      <w:divBdr>
        <w:top w:val="none" w:sz="0" w:space="0" w:color="auto"/>
        <w:left w:val="none" w:sz="0" w:space="0" w:color="auto"/>
        <w:bottom w:val="none" w:sz="0" w:space="0" w:color="auto"/>
        <w:right w:val="none" w:sz="0" w:space="0" w:color="auto"/>
      </w:divBdr>
    </w:div>
    <w:div w:id="398528033">
      <w:bodyDiv w:val="1"/>
      <w:marLeft w:val="0"/>
      <w:marRight w:val="0"/>
      <w:marTop w:val="0"/>
      <w:marBottom w:val="0"/>
      <w:divBdr>
        <w:top w:val="none" w:sz="0" w:space="0" w:color="auto"/>
        <w:left w:val="none" w:sz="0" w:space="0" w:color="auto"/>
        <w:bottom w:val="none" w:sz="0" w:space="0" w:color="auto"/>
        <w:right w:val="none" w:sz="0" w:space="0" w:color="auto"/>
      </w:divBdr>
      <w:divsChild>
        <w:div w:id="2053577227">
          <w:marLeft w:val="0"/>
          <w:marRight w:val="0"/>
          <w:marTop w:val="0"/>
          <w:marBottom w:val="0"/>
          <w:divBdr>
            <w:top w:val="none" w:sz="0" w:space="0" w:color="auto"/>
            <w:left w:val="none" w:sz="0" w:space="0" w:color="auto"/>
            <w:bottom w:val="none" w:sz="0" w:space="0" w:color="auto"/>
            <w:right w:val="none" w:sz="0" w:space="0" w:color="auto"/>
          </w:divBdr>
        </w:div>
      </w:divsChild>
    </w:div>
    <w:div w:id="135137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abor.state.ny.us/workerprotection/laborstandards/workprot/minors.s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isk_mgmt@cornell.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dol.gov/whd/regs/compliance/hrg.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r.cornell.edu/policies/nonacademic/special_circumstances.html" TargetMode="External"/><Relationship Id="rId20" Type="http://schemas.openxmlformats.org/officeDocument/2006/relationships/hyperlink" Target="http://www.risk.cornell.edu/forms-documents/risk-guidance/youth-progr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hs.cornell.edu" TargetMode="External"/><Relationship Id="rId5" Type="http://schemas.openxmlformats.org/officeDocument/2006/relationships/webSettings" Target="webSettings.xml"/><Relationship Id="rId15" Type="http://schemas.openxmlformats.org/officeDocument/2006/relationships/hyperlink" Target="https://www.dfa.cornell.edu/sites/default/files/policy/vol8_6_0.pdf" TargetMode="External"/><Relationship Id="rId23" Type="http://schemas.openxmlformats.org/officeDocument/2006/relationships/hyperlink" Target="mailto:askehs@cornell.edu" TargetMode="External"/><Relationship Id="rId28" Type="http://schemas.microsoft.com/office/2016/09/relationships/commentsIds" Target="commentsIds.xml"/><Relationship Id="rId10" Type="http://schemas.openxmlformats.org/officeDocument/2006/relationships/footer" Target="footer1.xml"/><Relationship Id="rId19" Type="http://schemas.openxmlformats.org/officeDocument/2006/relationships/hyperlink" Target="https://labor.ny.gov/workerprotection/laborstandards/workprot/fedproc.s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fa.cornell.edu/treasurer/policyoffice/policies/volumes/humanresources/volunteers.cfm" TargetMode="External"/><Relationship Id="rId22" Type="http://schemas.openxmlformats.org/officeDocument/2006/relationships/hyperlink" Target="http://www.risk.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D2126-55B2-4FBE-823E-97928936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C Young</dc:creator>
  <cp:keywords/>
  <dc:description/>
  <cp:lastModifiedBy>Elliot Young </cp:lastModifiedBy>
  <cp:revision>3</cp:revision>
  <cp:lastPrinted>2018-10-22T18:01:00Z</cp:lastPrinted>
  <dcterms:created xsi:type="dcterms:W3CDTF">2019-03-22T12:42:00Z</dcterms:created>
  <dcterms:modified xsi:type="dcterms:W3CDTF">2019-03-22T12:44:00Z</dcterms:modified>
</cp:coreProperties>
</file>